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FCE8A" w14:textId="77777777" w:rsidR="005E2F89" w:rsidRPr="005E2F89" w:rsidRDefault="005E2F89" w:rsidP="005E2F89">
      <w:pPr>
        <w:spacing w:after="0" w:line="240" w:lineRule="auto"/>
        <w:jc w:val="both"/>
        <w:rPr>
          <w:rFonts w:eastAsia="Times New Roman" w:cstheme="minorHAnsi"/>
          <w:b/>
          <w:kern w:val="0"/>
          <w:sz w:val="24"/>
          <w:szCs w:val="24"/>
          <w:lang w:eastAsia="pl-PL"/>
          <w14:ligatures w14:val="none"/>
        </w:rPr>
      </w:pPr>
      <w:bookmarkStart w:id="0" w:name="_Hlk135736475"/>
      <w:r w:rsidRPr="005E2F89">
        <w:rPr>
          <w:rFonts w:eastAsia="Times New Roman" w:cstheme="minorHAnsi"/>
          <w:b/>
          <w:kern w:val="0"/>
          <w:sz w:val="24"/>
          <w:szCs w:val="24"/>
          <w:lang w:eastAsia="pl-PL"/>
          <w14:ligatures w14:val="none"/>
        </w:rPr>
        <w:t>Załącznik nr 4 do SWZ</w:t>
      </w:r>
    </w:p>
    <w:p w14:paraId="59232639" w14:textId="0A0C3851" w:rsidR="005E2F89" w:rsidRPr="005E2F89" w:rsidRDefault="005E2F89" w:rsidP="005E2F89">
      <w:pPr>
        <w:spacing w:after="0" w:line="240" w:lineRule="auto"/>
        <w:jc w:val="both"/>
        <w:rPr>
          <w:rFonts w:eastAsia="Times New Roman" w:cstheme="minorHAnsi"/>
          <w:b/>
          <w:iCs/>
          <w:kern w:val="0"/>
          <w:sz w:val="24"/>
          <w:szCs w:val="24"/>
          <w:lang w:eastAsia="pl-PL"/>
          <w14:ligatures w14:val="none"/>
        </w:rPr>
      </w:pPr>
      <w:r w:rsidRPr="005E2F89">
        <w:rPr>
          <w:rFonts w:eastAsia="Times New Roman" w:cstheme="minorHAnsi"/>
          <w:b/>
          <w:kern w:val="0"/>
          <w:sz w:val="24"/>
          <w:szCs w:val="24"/>
          <w:lang w:eastAsia="pl-PL"/>
          <w14:ligatures w14:val="none"/>
        </w:rPr>
        <w:t xml:space="preserve">Znak sprawy: </w:t>
      </w:r>
      <w:r w:rsidR="003E109E" w:rsidRPr="003E109E">
        <w:rPr>
          <w:rFonts w:eastAsia="Times New Roman" w:cstheme="minorHAnsi"/>
          <w:b/>
          <w:kern w:val="0"/>
          <w:sz w:val="24"/>
          <w:szCs w:val="24"/>
          <w:lang w:eastAsia="pl-PL"/>
          <w14:ligatures w14:val="none"/>
        </w:rPr>
        <w:t>FNS.271.2.2026</w:t>
      </w:r>
    </w:p>
    <w:bookmarkEnd w:id="0"/>
    <w:p w14:paraId="6C1D6BB9" w14:textId="77777777" w:rsidR="005E2F89" w:rsidRPr="005E2F89" w:rsidRDefault="005E2F89" w:rsidP="005E2F89">
      <w:pPr>
        <w:spacing w:after="0" w:line="240" w:lineRule="auto"/>
        <w:rPr>
          <w:rFonts w:eastAsia="Times New Roman" w:cstheme="minorHAnsi"/>
          <w:kern w:val="0"/>
          <w:sz w:val="24"/>
          <w:szCs w:val="24"/>
          <w:lang w:eastAsia="pl-PL"/>
          <w14:ligatures w14:val="none"/>
        </w:rPr>
      </w:pPr>
    </w:p>
    <w:p w14:paraId="3FBA829B" w14:textId="77777777" w:rsidR="005E2F89" w:rsidRPr="005E2F89" w:rsidRDefault="005E2F89" w:rsidP="005E2F89">
      <w:pPr>
        <w:spacing w:after="0" w:line="240" w:lineRule="auto"/>
        <w:rPr>
          <w:rFonts w:eastAsia="Times New Roman" w:cstheme="minorHAnsi"/>
          <w:kern w:val="0"/>
          <w:sz w:val="24"/>
          <w:szCs w:val="24"/>
          <w:lang w:eastAsia="pl-PL"/>
          <w14:ligatures w14:val="none"/>
        </w:rPr>
      </w:pPr>
    </w:p>
    <w:p w14:paraId="71314B73" w14:textId="77777777" w:rsidR="005E2F89" w:rsidRPr="005E2F89" w:rsidRDefault="005E2F89" w:rsidP="005E2F89">
      <w:pPr>
        <w:spacing w:after="0" w:line="240" w:lineRule="auto"/>
        <w:rPr>
          <w:rFonts w:eastAsia="Times New Roman" w:cstheme="minorHAnsi"/>
          <w:kern w:val="0"/>
          <w:sz w:val="24"/>
          <w:szCs w:val="24"/>
          <w:lang w:eastAsia="pl-PL"/>
          <w14:ligatures w14:val="none"/>
        </w:rPr>
      </w:pPr>
    </w:p>
    <w:p w14:paraId="0B285E23" w14:textId="77777777" w:rsidR="005E2F89" w:rsidRPr="005E2F89" w:rsidRDefault="005E2F89" w:rsidP="005E2F89">
      <w:pPr>
        <w:spacing w:after="0" w:line="240" w:lineRule="auto"/>
        <w:rPr>
          <w:rFonts w:eastAsia="Times New Roman" w:cstheme="minorHAnsi"/>
          <w:kern w:val="0"/>
          <w:sz w:val="24"/>
          <w:szCs w:val="24"/>
          <w:lang w:eastAsia="pl-PL"/>
          <w14:ligatures w14:val="none"/>
        </w:rPr>
      </w:pPr>
    </w:p>
    <w:p w14:paraId="26B012CC" w14:textId="77777777" w:rsidR="005E2F89" w:rsidRPr="005E2F89" w:rsidRDefault="005E2F89" w:rsidP="005E2F89">
      <w:pPr>
        <w:tabs>
          <w:tab w:val="left" w:pos="2625"/>
        </w:tabs>
        <w:spacing w:after="0" w:line="240" w:lineRule="auto"/>
        <w:rPr>
          <w:rFonts w:eastAsia="Times New Roman" w:cstheme="minorHAnsi"/>
          <w:kern w:val="0"/>
          <w:sz w:val="24"/>
          <w:szCs w:val="24"/>
          <w:lang w:eastAsia="pl-PL"/>
          <w14:ligatures w14:val="none"/>
        </w:rPr>
      </w:pPr>
      <w:r w:rsidRPr="005E2F89">
        <w:rPr>
          <w:rFonts w:eastAsia="Times New Roman" w:cstheme="minorHAnsi"/>
          <w:kern w:val="0"/>
          <w:sz w:val="24"/>
          <w:szCs w:val="24"/>
          <w:lang w:eastAsia="pl-PL"/>
          <w14:ligatures w14:val="none"/>
        </w:rPr>
        <w:tab/>
      </w:r>
      <w:r w:rsidRPr="005E2F89">
        <w:rPr>
          <w:rFonts w:eastAsia="Times New Roman" w:cstheme="minorHAnsi"/>
          <w:b/>
          <w:bCs/>
          <w:kern w:val="0"/>
          <w:sz w:val="28"/>
          <w:szCs w:val="28"/>
          <w:lang w:eastAsia="pl-PL"/>
          <w14:ligatures w14:val="none"/>
        </w:rPr>
        <w:t>Istotne postanowienia umowy</w:t>
      </w:r>
    </w:p>
    <w:p w14:paraId="4BCDEAC9" w14:textId="77777777" w:rsidR="005E2F89" w:rsidRPr="005E2F89" w:rsidRDefault="005E2F89" w:rsidP="005E2F89">
      <w:pPr>
        <w:spacing w:after="0" w:line="240" w:lineRule="auto"/>
        <w:rPr>
          <w:rFonts w:eastAsia="Times New Roman" w:cstheme="minorHAnsi"/>
          <w:kern w:val="0"/>
          <w:sz w:val="28"/>
          <w:szCs w:val="28"/>
          <w:lang w:eastAsia="pl-PL"/>
          <w14:ligatures w14:val="none"/>
        </w:rPr>
      </w:pPr>
    </w:p>
    <w:p w14:paraId="35B4F038" w14:textId="77777777" w:rsidR="005E2F89" w:rsidRPr="005E2F89" w:rsidRDefault="005E2F89" w:rsidP="005E2F89">
      <w:pPr>
        <w:spacing w:after="0" w:line="240" w:lineRule="auto"/>
        <w:rPr>
          <w:rFonts w:eastAsia="Times New Roman" w:cstheme="minorHAnsi"/>
          <w:kern w:val="0"/>
          <w:sz w:val="24"/>
          <w:szCs w:val="24"/>
          <w:lang w:eastAsia="pl-PL"/>
          <w14:ligatures w14:val="none"/>
        </w:rPr>
      </w:pPr>
    </w:p>
    <w:p w14:paraId="79706DF4" w14:textId="77777777" w:rsidR="005E2F89" w:rsidRPr="005E2F89" w:rsidRDefault="005E2F89" w:rsidP="005E2F89">
      <w:pPr>
        <w:spacing w:after="0" w:line="240" w:lineRule="auto"/>
        <w:jc w:val="both"/>
        <w:rPr>
          <w:rFonts w:eastAsia="Times New Roman" w:cstheme="minorHAnsi"/>
          <w:kern w:val="0"/>
          <w:sz w:val="24"/>
          <w:szCs w:val="24"/>
          <w:lang w:eastAsia="pl-PL"/>
          <w14:ligatures w14:val="none"/>
        </w:rPr>
      </w:pPr>
      <w:r w:rsidRPr="005E2F89">
        <w:rPr>
          <w:rFonts w:eastAsia="Times New Roman" w:cstheme="minorHAnsi"/>
          <w:kern w:val="0"/>
          <w:sz w:val="24"/>
          <w:szCs w:val="24"/>
          <w:lang w:eastAsia="pl-PL"/>
          <w14:ligatures w14:val="none"/>
        </w:rPr>
        <w:t>Wykonawca może podpisać umowę o zamówienie publiczne na własnym wzorze. W takim przypadku zobowiązany jest do zawarcia w treści umowy poniżej wymienionych postanowień:</w:t>
      </w:r>
    </w:p>
    <w:p w14:paraId="37C85E8D" w14:textId="77777777" w:rsidR="00D8687B" w:rsidRDefault="00D8687B"/>
    <w:p w14:paraId="63BC2F22" w14:textId="6B93DC77" w:rsidR="00BE52DC" w:rsidRDefault="00BE52DC" w:rsidP="005E2F89">
      <w:pPr>
        <w:spacing w:after="120" w:line="276" w:lineRule="auto"/>
        <w:jc w:val="center"/>
        <w:rPr>
          <w:rFonts w:ascii="Calibri" w:eastAsia="Cambria" w:hAnsi="Calibri" w:cs="Calibri"/>
          <w:b/>
          <w:bCs/>
          <w:kern w:val="0"/>
          <w:sz w:val="24"/>
          <w:szCs w:val="24"/>
          <w:lang w:eastAsia="pl-PL"/>
          <w14:ligatures w14:val="none"/>
        </w:rPr>
      </w:pPr>
      <w:r>
        <w:rPr>
          <w:rFonts w:ascii="Calibri" w:eastAsia="Cambria" w:hAnsi="Calibri" w:cs="Calibri"/>
          <w:b/>
          <w:bCs/>
          <w:kern w:val="0"/>
          <w:sz w:val="24"/>
          <w:szCs w:val="24"/>
          <w:lang w:eastAsia="pl-PL"/>
          <w14:ligatures w14:val="none"/>
        </w:rPr>
        <w:t>§1</w:t>
      </w:r>
    </w:p>
    <w:p w14:paraId="65A56768" w14:textId="0B374E1C" w:rsidR="005E2F89" w:rsidRPr="005E2F89" w:rsidRDefault="005E2F89" w:rsidP="005E2F89">
      <w:pPr>
        <w:spacing w:after="120" w:line="276" w:lineRule="auto"/>
        <w:jc w:val="center"/>
        <w:rPr>
          <w:rFonts w:ascii="Calibri" w:eastAsia="Cambria" w:hAnsi="Calibri" w:cs="Calibri"/>
          <w:b/>
          <w:kern w:val="0"/>
          <w:sz w:val="24"/>
          <w:szCs w:val="24"/>
          <w:lang w:eastAsia="pl-PL"/>
          <w14:ligatures w14:val="none"/>
        </w:rPr>
      </w:pPr>
      <w:r w:rsidRPr="005E2F89">
        <w:rPr>
          <w:rFonts w:ascii="Calibri" w:eastAsia="Cambria" w:hAnsi="Calibri" w:cs="Calibri"/>
          <w:b/>
          <w:bCs/>
          <w:kern w:val="0"/>
          <w:sz w:val="24"/>
          <w:szCs w:val="24"/>
          <w:lang w:eastAsia="pl-PL"/>
          <w14:ligatures w14:val="none"/>
        </w:rPr>
        <w:t>Przedmiot umowy</w:t>
      </w:r>
    </w:p>
    <w:p w14:paraId="157CE809" w14:textId="4FFFFC02" w:rsid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Kompleksowa dostawa energii elektrycznej obejmująca sprzedaż oraz świadczenie usług dystrybucji energii elektrycznej odbywa się na warunkach określonych przepisami ustawy z dnia 10 kwietnia 1997 r. Prawo energetyczne, przepisami Kodeksu cywilnego, zasadami określonymi w koncesji, postanowieniami niniejszej Umowy, a także zgodnie Taryfą Operatora Systemu Dystrybucyjnego jak również ze złożonym przez Wykonawcę Formularzem Kalkulacji Cenowej (stanowiącym Załącznik nr 3 do SWZ).</w:t>
      </w:r>
    </w:p>
    <w:p w14:paraId="73DE6048" w14:textId="77777777" w:rsidR="005E2F89" w:rsidRP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Wykonawca zobowiązuje się do sprzedaży energii elektrycznej i zapewnia jej przesył i dystrybucję według zapotrzebowania i do miejsc wskazanych przez Zamawiającego w Załączniku nr 1 do Umowy będącym jej integralną częścią.</w:t>
      </w:r>
    </w:p>
    <w:p w14:paraId="06366B1E" w14:textId="77777777" w:rsidR="005E2F89" w:rsidRP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Sprzedaż energii elektrycznej oraz świadczenie usług dystrybucji dla nowego punktu poboru, nieujętego w Załączniku nr 1 do Umowy, lub dla punktu poboru, w którym nastąpił znaczący wzrost zużycia energii elektrycznej, będą realizowane na podstawie zmiany tego Załącznika, bez konieczności renegocjowania pozostałych warunków Umowy. Zmiana Załącznika nr 1 do Umowy nie stanowi zmiany pozostałych warunków zawartej Umowy.</w:t>
      </w:r>
    </w:p>
    <w:p w14:paraId="3520A125" w14:textId="77777777" w:rsidR="005E2F89" w:rsidRP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Wykonawca zobowiązuje się do sprzedaży energii elektrycznej z zachowaniem obowiązujących standardów jakościowych, określonych w Taryfie, Prawie energetycznym oraz aktach wykonawczych do tej ustawy.</w:t>
      </w:r>
    </w:p>
    <w:p w14:paraId="3FD2CD00" w14:textId="77777777" w:rsidR="005E2F89" w:rsidRP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 xml:space="preserve">Wykonawca zobowiązany jest do zgłoszenia OSD niniejszej Umowy celem przeprowadzenia procedury zmiany sprzedawcy. Czynności opisane w zdaniu pierwszym Wykonawca podejmie bez zbędnej zwłoki, w terminie umożliwiającym rozpoczęcie dostaw zgodnie z Umową. </w:t>
      </w:r>
    </w:p>
    <w:p w14:paraId="150F5A8F" w14:textId="77777777" w:rsidR="005E2F89" w:rsidRP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Wykonawca zobowiązuje się do dokonania wszelkich czynności i uzgodnień z OSD niezbędnych do przeprowadzenia procedury zmiany sprzedawcy. W przypadku zaistnienia okoliczności uniemożliwiających lub opóźniających zmianę sprzedawcy, Wykonawca niezwłocznie poinformuje o tym fakcie Zamawiającego drogą elektroniczną na wskazany przez Zamawiającego adres e-mail.</w:t>
      </w:r>
    </w:p>
    <w:p w14:paraId="0911E676" w14:textId="77777777" w:rsidR="005E2F89" w:rsidRPr="005E2F89" w:rsidRDefault="005E2F89" w:rsidP="005E2F89">
      <w:pPr>
        <w:numPr>
          <w:ilvl w:val="0"/>
          <w:numId w:val="3"/>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lastRenderedPageBreak/>
        <w:t>Wykonawca zobowiązuje się zapewnić Zamawiającemu standardy jakości obsługi Zamawiającego w zakresie świadczenia usług przesyłania i dystrybucji:</w:t>
      </w:r>
    </w:p>
    <w:p w14:paraId="0EC2ED6D" w14:textId="77777777" w:rsidR="005E2F89" w:rsidRPr="005E2F89" w:rsidRDefault="005E2F89" w:rsidP="005E2F89">
      <w:pPr>
        <w:numPr>
          <w:ilvl w:val="0"/>
          <w:numId w:val="2"/>
        </w:numPr>
        <w:spacing w:after="0" w:line="276" w:lineRule="auto"/>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przyjmowania od Zamawiającego, przez całą dobę, zgłoszeń i reklamacji dotyczących dostarczania energii elektrycznej z sieci;</w:t>
      </w:r>
    </w:p>
    <w:p w14:paraId="671B16AF" w14:textId="77777777" w:rsidR="005E2F89" w:rsidRPr="005E2F89" w:rsidRDefault="005E2F89" w:rsidP="005E2F89">
      <w:pPr>
        <w:numPr>
          <w:ilvl w:val="0"/>
          <w:numId w:val="2"/>
        </w:numPr>
        <w:spacing w:after="0" w:line="276" w:lineRule="auto"/>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bezzwłocznego przystąpienia do usuwania zakłóceń w dostarczaniu energii elektrycznej, spowodowanych nieprawidłową pracą sieci;</w:t>
      </w:r>
    </w:p>
    <w:p w14:paraId="1542183C" w14:textId="77777777" w:rsidR="005E2F89" w:rsidRPr="005E2F89" w:rsidRDefault="005E2F89" w:rsidP="005E2F89">
      <w:pPr>
        <w:numPr>
          <w:ilvl w:val="0"/>
          <w:numId w:val="2"/>
        </w:numPr>
        <w:spacing w:after="0" w:line="276" w:lineRule="auto"/>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udzielania Zamawiającemu, na jego żądanie, informacji o przewidywanym terminie wznowienia dostarczania energii elektrycznej przerwanego z powodu awarii w sieci;</w:t>
      </w:r>
    </w:p>
    <w:p w14:paraId="23A8756A" w14:textId="77777777" w:rsidR="005E2F89" w:rsidRPr="005E2F89" w:rsidRDefault="005E2F89" w:rsidP="005E2F89">
      <w:pPr>
        <w:numPr>
          <w:ilvl w:val="0"/>
          <w:numId w:val="2"/>
        </w:numPr>
        <w:spacing w:after="0" w:line="276" w:lineRule="auto"/>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nieodpłatnego udzielania informacji w sprawie rozliczeń oraz aktualnych taryf i zmian przepisów prawa powszechnie obowiązującego w zakresie objętym umową;</w:t>
      </w:r>
    </w:p>
    <w:p w14:paraId="10AD1F27" w14:textId="77777777" w:rsidR="005E2F89" w:rsidRPr="005E2F89" w:rsidRDefault="005E2F89" w:rsidP="005E2F89">
      <w:pPr>
        <w:numPr>
          <w:ilvl w:val="0"/>
          <w:numId w:val="2"/>
        </w:numPr>
        <w:spacing w:after="0" w:line="276" w:lineRule="auto"/>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rozpatrywania wniosków lub reklamacji Zamawiającego w sprawie rozliczeń i udzielania odpowiedzi, nie później niż w terminie 14 dni od dnia złożenia wniosku lub zgłoszenia reklamacji;</w:t>
      </w:r>
    </w:p>
    <w:p w14:paraId="5C90E51F" w14:textId="77777777" w:rsidR="005E2F89" w:rsidRPr="005E2F89" w:rsidRDefault="005E2F89" w:rsidP="005E2F89">
      <w:pPr>
        <w:numPr>
          <w:ilvl w:val="0"/>
          <w:numId w:val="2"/>
        </w:numPr>
        <w:spacing w:after="0" w:line="276" w:lineRule="auto"/>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powiadamiania Zamawiającego o terminach i czasie planowanych przerw w dostawie energii elektrycznej;</w:t>
      </w:r>
    </w:p>
    <w:p w14:paraId="3DB2BAD1" w14:textId="77777777" w:rsidR="005E2F89" w:rsidRPr="005E2F89" w:rsidRDefault="005E2F89" w:rsidP="005E2F89">
      <w:pPr>
        <w:numPr>
          <w:ilvl w:val="0"/>
          <w:numId w:val="2"/>
        </w:numPr>
        <w:spacing w:after="0" w:line="276" w:lineRule="auto"/>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niezwłocznego przekazywania Zamawiającemu informacji mających istotny wpływ na realizację umowy.</w:t>
      </w:r>
    </w:p>
    <w:p w14:paraId="2ED314C9" w14:textId="77777777" w:rsidR="00FD6B97" w:rsidRDefault="00FD6B97" w:rsidP="005E2F89">
      <w:pPr>
        <w:numPr>
          <w:ilvl w:val="0"/>
          <w:numId w:val="3"/>
        </w:numPr>
        <w:spacing w:after="0" w:line="276" w:lineRule="auto"/>
        <w:ind w:left="426" w:hanging="426"/>
        <w:contextualSpacing/>
        <w:jc w:val="both"/>
        <w:rPr>
          <w:rFonts w:ascii="Calibri" w:eastAsia="Cambria" w:hAnsi="Calibri" w:cs="Calibri"/>
          <w:kern w:val="0"/>
          <w:sz w:val="24"/>
          <w:szCs w:val="24"/>
          <w:lang w:eastAsia="pl-PL"/>
          <w14:ligatures w14:val="none"/>
        </w:rPr>
      </w:pPr>
      <w:r w:rsidRPr="00FD6B97">
        <w:rPr>
          <w:rFonts w:ascii="Calibri" w:eastAsia="Cambria" w:hAnsi="Calibri" w:cs="Calibri"/>
          <w:kern w:val="0"/>
          <w:sz w:val="24"/>
          <w:szCs w:val="24"/>
          <w:lang w:eastAsia="pl-PL"/>
          <w14:ligatures w14:val="none"/>
        </w:rPr>
        <w:t>W przypadku wejścia w życie w okresie obowiązywania Umowy powszechnie obowiązujących przepisów ustanawiających mechanizmy ochronne, ceny maksymalne, ceny regulowane lub inne formy wsparcia odbiorców energii elektrycznej, Strony będą stosowały te przepisy w zakresie, w jakim znajdą zastosowanie do Zamawiającego i punktów poboru objętych Umową.</w:t>
      </w:r>
    </w:p>
    <w:p w14:paraId="31DF29A7" w14:textId="49848335" w:rsidR="005E2F89" w:rsidRPr="005E2F89" w:rsidRDefault="00FD6B97" w:rsidP="005E2F89">
      <w:pPr>
        <w:numPr>
          <w:ilvl w:val="0"/>
          <w:numId w:val="3"/>
        </w:numPr>
        <w:spacing w:after="0" w:line="276" w:lineRule="auto"/>
        <w:ind w:left="426" w:hanging="426"/>
        <w:contextualSpacing/>
        <w:jc w:val="both"/>
        <w:rPr>
          <w:rFonts w:ascii="Calibri" w:eastAsia="Cambria" w:hAnsi="Calibri" w:cs="Calibri"/>
          <w:kern w:val="0"/>
          <w:sz w:val="24"/>
          <w:szCs w:val="24"/>
          <w:lang w:eastAsia="pl-PL"/>
          <w14:ligatures w14:val="none"/>
        </w:rPr>
      </w:pPr>
      <w:r w:rsidRPr="00FD6B97">
        <w:rPr>
          <w:rFonts w:ascii="Calibri" w:eastAsia="Cambria" w:hAnsi="Calibri" w:cs="Calibri"/>
          <w:kern w:val="0"/>
          <w:sz w:val="24"/>
          <w:szCs w:val="24"/>
          <w:lang w:eastAsia="pl-PL"/>
          <w14:ligatures w14:val="none"/>
        </w:rPr>
        <w:t>W przypadku wejścia w życie w okresie obowiązywania Umowy powszechnie obowiązujących przepisów ustanawiających mechanizmy ochronne, ceny maksymalne, ceny regulowane lub inne formy wsparcia odbiorców energii elektrycznej, Strony będą stosowały te przepisy w zakresie, w jakim znajdą zastosowanie do Zamawiającego i punktów poboru objętych Umową</w:t>
      </w:r>
      <w:r w:rsidR="005E2F89" w:rsidRPr="005E2F89">
        <w:rPr>
          <w:rFonts w:ascii="Calibri" w:eastAsia="Cambria" w:hAnsi="Calibri" w:cs="Calibri"/>
          <w:kern w:val="0"/>
          <w:sz w:val="24"/>
          <w:szCs w:val="24"/>
          <w:lang w:eastAsia="pl-PL"/>
          <w14:ligatures w14:val="none"/>
        </w:rPr>
        <w:t>.</w:t>
      </w:r>
    </w:p>
    <w:p w14:paraId="594DC91A" w14:textId="77777777" w:rsidR="005E2F89" w:rsidRPr="005E2F89" w:rsidRDefault="005E2F89" w:rsidP="005E2F89">
      <w:pPr>
        <w:numPr>
          <w:ilvl w:val="0"/>
          <w:numId w:val="3"/>
        </w:numPr>
        <w:spacing w:after="0" w:line="276" w:lineRule="auto"/>
        <w:ind w:left="426" w:hanging="426"/>
        <w:contextualSpacing/>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 xml:space="preserve">Wykonawca i Zamawiający zobowiązują się do podpisania (o ile będzie to niezbędne) odrębnego dokumentu (w odniesieniu do poszczególnych PPE) regulującego sposób rozliczenia ilości energii elektrycznej wprowadzonej do sieci OSD wobec ilości energii elektrycznej pobranej z tej sieci w celu jej zużycia na potrzeby własne przez Prosumenta wytwarzającego energię elektryczną w </w:t>
      </w:r>
      <w:proofErr w:type="spellStart"/>
      <w:r w:rsidRPr="005E2F89">
        <w:rPr>
          <w:rFonts w:ascii="Calibri" w:eastAsia="Cambria" w:hAnsi="Calibri" w:cs="Calibri"/>
          <w:kern w:val="0"/>
          <w:sz w:val="24"/>
          <w:szCs w:val="24"/>
          <w:lang w:eastAsia="pl-PL"/>
          <w14:ligatures w14:val="none"/>
        </w:rPr>
        <w:t>mikroinstalacji</w:t>
      </w:r>
      <w:proofErr w:type="spellEnd"/>
      <w:r w:rsidRPr="005E2F89">
        <w:rPr>
          <w:rFonts w:ascii="Calibri" w:eastAsia="Cambria" w:hAnsi="Calibri" w:cs="Calibri"/>
          <w:kern w:val="0"/>
          <w:sz w:val="24"/>
          <w:szCs w:val="24"/>
          <w:lang w:eastAsia="pl-PL"/>
          <w14:ligatures w14:val="none"/>
        </w:rPr>
        <w:t xml:space="preserve"> (dotyczy obiektów w których już istnieje lub powstanie </w:t>
      </w:r>
      <w:proofErr w:type="spellStart"/>
      <w:r w:rsidRPr="005E2F89">
        <w:rPr>
          <w:rFonts w:ascii="Calibri" w:eastAsia="Cambria" w:hAnsi="Calibri" w:cs="Calibri"/>
          <w:kern w:val="0"/>
          <w:sz w:val="24"/>
          <w:szCs w:val="24"/>
          <w:lang w:eastAsia="pl-PL"/>
          <w14:ligatures w14:val="none"/>
        </w:rPr>
        <w:t>mikroinstalacja</w:t>
      </w:r>
      <w:proofErr w:type="spellEnd"/>
      <w:r w:rsidRPr="005E2F89">
        <w:rPr>
          <w:rFonts w:ascii="Calibri" w:eastAsia="Cambria" w:hAnsi="Calibri" w:cs="Calibri"/>
          <w:bCs/>
          <w:kern w:val="0"/>
          <w:sz w:val="24"/>
          <w:szCs w:val="24"/>
          <w:lang w:eastAsia="pl-PL"/>
          <w14:ligatures w14:val="none"/>
        </w:rPr>
        <w:t>).</w:t>
      </w:r>
    </w:p>
    <w:p w14:paraId="6B30B945" w14:textId="77777777" w:rsidR="005E2F89" w:rsidRDefault="005E2F89" w:rsidP="005E2F89">
      <w:pPr>
        <w:spacing w:after="120" w:line="276" w:lineRule="auto"/>
        <w:rPr>
          <w:rFonts w:ascii="Calibri" w:eastAsia="Cambria" w:hAnsi="Calibri" w:cs="Calibri"/>
          <w:kern w:val="0"/>
          <w:sz w:val="24"/>
          <w:szCs w:val="24"/>
          <w:lang w:eastAsia="pl-PL"/>
          <w14:ligatures w14:val="none"/>
        </w:rPr>
      </w:pPr>
    </w:p>
    <w:p w14:paraId="4DD44CAC" w14:textId="42A6CB8E" w:rsidR="00BE52DC" w:rsidRDefault="00BE52DC" w:rsidP="005E2F89">
      <w:pPr>
        <w:spacing w:after="120" w:line="276" w:lineRule="auto"/>
        <w:jc w:val="center"/>
        <w:rPr>
          <w:rFonts w:ascii="Calibri" w:eastAsia="Cambria" w:hAnsi="Calibri" w:cs="Calibri"/>
          <w:b/>
          <w:bCs/>
          <w:kern w:val="0"/>
          <w:sz w:val="24"/>
          <w:szCs w:val="24"/>
          <w:lang w:eastAsia="pl-PL"/>
          <w14:ligatures w14:val="none"/>
        </w:rPr>
      </w:pPr>
      <w:r>
        <w:rPr>
          <w:rFonts w:ascii="Calibri" w:eastAsia="Cambria" w:hAnsi="Calibri" w:cs="Calibri"/>
          <w:b/>
          <w:bCs/>
          <w:kern w:val="0"/>
          <w:sz w:val="24"/>
          <w:szCs w:val="24"/>
          <w:lang w:eastAsia="pl-PL"/>
          <w14:ligatures w14:val="none"/>
        </w:rPr>
        <w:t>§2</w:t>
      </w:r>
    </w:p>
    <w:p w14:paraId="10755598" w14:textId="227DC3FC" w:rsidR="005E2F89" w:rsidRPr="005E2F89" w:rsidRDefault="005E2F89" w:rsidP="005E2F89">
      <w:pPr>
        <w:spacing w:after="120" w:line="276" w:lineRule="auto"/>
        <w:jc w:val="center"/>
        <w:rPr>
          <w:rFonts w:ascii="Calibri" w:eastAsia="Cambria" w:hAnsi="Calibri" w:cs="Calibri"/>
          <w:b/>
          <w:kern w:val="0"/>
          <w:sz w:val="24"/>
          <w:szCs w:val="24"/>
          <w:lang w:eastAsia="pl-PL"/>
          <w14:ligatures w14:val="none"/>
        </w:rPr>
      </w:pPr>
      <w:r w:rsidRPr="005E2F89">
        <w:rPr>
          <w:rFonts w:ascii="Calibri" w:eastAsia="Cambria" w:hAnsi="Calibri" w:cs="Calibri"/>
          <w:b/>
          <w:bCs/>
          <w:kern w:val="0"/>
          <w:sz w:val="24"/>
          <w:szCs w:val="24"/>
          <w:lang w:eastAsia="pl-PL"/>
          <w14:ligatures w14:val="none"/>
        </w:rPr>
        <w:t>Termin wykonania przedmiotu umowy</w:t>
      </w:r>
    </w:p>
    <w:p w14:paraId="00616D88" w14:textId="36FD2F2A" w:rsidR="005E2F89" w:rsidRPr="005E2F89" w:rsidRDefault="005E2F89" w:rsidP="005E2F89">
      <w:pPr>
        <w:numPr>
          <w:ilvl w:val="0"/>
          <w:numId w:val="8"/>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 xml:space="preserve">Umowa obejmuje kompleksową dostawę energii elektrycznej, obejmującą sprzedaż oraz świadczenie usług dystrybucji energii elektrycznej w okresie </w:t>
      </w:r>
      <w:r w:rsidRPr="005E2F89">
        <w:rPr>
          <w:rFonts w:ascii="Calibri" w:eastAsia="Cambria" w:hAnsi="Calibri" w:cs="Calibri"/>
          <w:b/>
          <w:kern w:val="0"/>
          <w:sz w:val="24"/>
          <w:szCs w:val="24"/>
          <w:lang w:eastAsia="pl-PL"/>
          <w14:ligatures w14:val="none"/>
        </w:rPr>
        <w:t>od 01.01.202</w:t>
      </w:r>
      <w:r w:rsidR="00B14CC7">
        <w:rPr>
          <w:rFonts w:ascii="Calibri" w:eastAsia="Cambria" w:hAnsi="Calibri" w:cs="Calibri"/>
          <w:b/>
          <w:kern w:val="0"/>
          <w:sz w:val="24"/>
          <w:szCs w:val="24"/>
          <w:lang w:eastAsia="pl-PL"/>
          <w14:ligatures w14:val="none"/>
        </w:rPr>
        <w:t>7</w:t>
      </w:r>
      <w:r w:rsidRPr="005E2F89">
        <w:rPr>
          <w:rFonts w:ascii="Calibri" w:eastAsia="Cambria" w:hAnsi="Calibri" w:cs="Calibri"/>
          <w:b/>
          <w:kern w:val="0"/>
          <w:sz w:val="24"/>
          <w:szCs w:val="24"/>
          <w:lang w:eastAsia="pl-PL"/>
          <w14:ligatures w14:val="none"/>
        </w:rPr>
        <w:t xml:space="preserve"> r. do 31.12.202</w:t>
      </w:r>
      <w:r w:rsidR="00D541CD">
        <w:rPr>
          <w:rFonts w:ascii="Calibri" w:eastAsia="Cambria" w:hAnsi="Calibri" w:cs="Calibri"/>
          <w:b/>
          <w:kern w:val="0"/>
          <w:sz w:val="24"/>
          <w:szCs w:val="24"/>
          <w:lang w:eastAsia="pl-PL"/>
          <w14:ligatures w14:val="none"/>
        </w:rPr>
        <w:t>8</w:t>
      </w:r>
      <w:r w:rsidRPr="005E2F89">
        <w:rPr>
          <w:rFonts w:ascii="Calibri" w:eastAsia="Cambria" w:hAnsi="Calibri" w:cs="Calibri"/>
          <w:b/>
          <w:kern w:val="0"/>
          <w:sz w:val="24"/>
          <w:szCs w:val="24"/>
          <w:lang w:eastAsia="pl-PL"/>
          <w14:ligatures w14:val="none"/>
        </w:rPr>
        <w:t xml:space="preserve"> r.</w:t>
      </w:r>
    </w:p>
    <w:p w14:paraId="34B3AE8F" w14:textId="58A14409" w:rsidR="005E2F89" w:rsidRPr="005E2F89" w:rsidRDefault="005E2F89" w:rsidP="005E2F89">
      <w:pPr>
        <w:numPr>
          <w:ilvl w:val="0"/>
          <w:numId w:val="8"/>
        </w:numPr>
        <w:spacing w:after="0" w:line="276" w:lineRule="auto"/>
        <w:ind w:left="426" w:hanging="426"/>
        <w:jc w:val="both"/>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lastRenderedPageBreak/>
        <w:t xml:space="preserve">Umowa wchodzi w życie w zakresie każdego punktu poboru energii </w:t>
      </w:r>
      <w:r w:rsidRPr="00D541CD">
        <w:rPr>
          <w:rFonts w:ascii="Calibri" w:eastAsia="Cambria" w:hAnsi="Calibri" w:cs="Calibri"/>
          <w:kern w:val="0"/>
          <w:sz w:val="24"/>
          <w:szCs w:val="24"/>
          <w:lang w:eastAsia="pl-PL"/>
          <w14:ligatures w14:val="none"/>
        </w:rPr>
        <w:t xml:space="preserve">opisanego w </w:t>
      </w:r>
      <w:r w:rsidR="00D541CD" w:rsidRPr="00D541CD">
        <w:rPr>
          <w:rFonts w:ascii="Calibri" w:eastAsia="Cambria" w:hAnsi="Calibri" w:cs="Calibri"/>
          <w:kern w:val="0"/>
          <w:sz w:val="24"/>
          <w:szCs w:val="24"/>
          <w:lang w:eastAsia="pl-PL"/>
          <w14:ligatures w14:val="none"/>
        </w:rPr>
        <w:t xml:space="preserve">…….. (wykaz punktów poboru do SWZ) </w:t>
      </w:r>
      <w:r w:rsidRPr="005E2F89">
        <w:rPr>
          <w:rFonts w:ascii="Calibri" w:eastAsia="Cambria" w:hAnsi="Calibri" w:cs="Calibri"/>
          <w:kern w:val="0"/>
          <w:sz w:val="24"/>
          <w:szCs w:val="24"/>
          <w:lang w:eastAsia="pl-PL"/>
          <w14:ligatures w14:val="none"/>
        </w:rPr>
        <w:t xml:space="preserve">do Umowy z dniem wskazanym w kolumnie „Okres dostaw”, </w:t>
      </w:r>
      <w:r w:rsidRPr="005E2F89">
        <w:rPr>
          <w:rFonts w:ascii="Calibri" w:eastAsia="Cambria" w:hAnsi="Calibri" w:cs="Calibri"/>
          <w:iCs/>
          <w:kern w:val="0"/>
          <w:sz w:val="24"/>
          <w:szCs w:val="24"/>
          <w:lang w:eastAsia="pl-PL"/>
          <w14:ligatures w14:val="none"/>
        </w:rPr>
        <w:t>lecz nie wcześniej niż z dniem skutecznego zakończenia umów</w:t>
      </w:r>
      <w:r w:rsidRPr="005E2F89">
        <w:rPr>
          <w:rFonts w:ascii="Calibri" w:eastAsia="Cambria" w:hAnsi="Calibri" w:cs="Calibri"/>
          <w:kern w:val="0"/>
          <w:sz w:val="24"/>
          <w:szCs w:val="24"/>
          <w:lang w:eastAsia="pl-PL"/>
          <w14:ligatures w14:val="none"/>
        </w:rPr>
        <w:t xml:space="preserve"> </w:t>
      </w:r>
      <w:r w:rsidRPr="005E2F89">
        <w:rPr>
          <w:rFonts w:ascii="Calibri" w:eastAsia="Cambria" w:hAnsi="Calibri" w:cs="Calibri"/>
          <w:iCs/>
          <w:kern w:val="0"/>
          <w:sz w:val="24"/>
          <w:szCs w:val="24"/>
          <w:lang w:eastAsia="pl-PL"/>
          <w14:ligatures w14:val="none"/>
        </w:rPr>
        <w:t xml:space="preserve">sprzedaży energii elektrycznej oraz umów kompleksowych, na podstawie których Zamawiający dotychczas kupował energię elektryczną, a także po pozytywnie przeprowadzonej procedurze zmiany sprzedawcy. Końcowy termin realizacji zamówienia </w:t>
      </w:r>
      <w:r w:rsidRPr="00B14CC7">
        <w:rPr>
          <w:rFonts w:ascii="Calibri" w:eastAsia="Cambria" w:hAnsi="Calibri" w:cs="Calibri"/>
          <w:b/>
          <w:bCs/>
          <w:iCs/>
          <w:kern w:val="0"/>
          <w:sz w:val="24"/>
          <w:szCs w:val="24"/>
          <w:lang w:eastAsia="pl-PL"/>
          <w14:ligatures w14:val="none"/>
        </w:rPr>
        <w:t>(31.12.202</w:t>
      </w:r>
      <w:r w:rsidR="00D541CD">
        <w:rPr>
          <w:rFonts w:ascii="Calibri" w:eastAsia="Cambria" w:hAnsi="Calibri" w:cs="Calibri"/>
          <w:b/>
          <w:bCs/>
          <w:iCs/>
          <w:kern w:val="0"/>
          <w:sz w:val="24"/>
          <w:szCs w:val="24"/>
          <w:lang w:eastAsia="pl-PL"/>
          <w14:ligatures w14:val="none"/>
        </w:rPr>
        <w:t xml:space="preserve">8 </w:t>
      </w:r>
      <w:r w:rsidRPr="00B14CC7">
        <w:rPr>
          <w:rFonts w:ascii="Calibri" w:eastAsia="Cambria" w:hAnsi="Calibri" w:cs="Calibri"/>
          <w:b/>
          <w:bCs/>
          <w:iCs/>
          <w:kern w:val="0"/>
          <w:sz w:val="24"/>
          <w:szCs w:val="24"/>
          <w:lang w:eastAsia="pl-PL"/>
          <w14:ligatures w14:val="none"/>
        </w:rPr>
        <w:t xml:space="preserve">r.) </w:t>
      </w:r>
      <w:r w:rsidRPr="005E2F89">
        <w:rPr>
          <w:rFonts w:ascii="Calibri" w:eastAsia="Cambria" w:hAnsi="Calibri" w:cs="Calibri"/>
          <w:iCs/>
          <w:kern w:val="0"/>
          <w:sz w:val="24"/>
          <w:szCs w:val="24"/>
          <w:lang w:eastAsia="pl-PL"/>
          <w14:ligatures w14:val="none"/>
        </w:rPr>
        <w:t>pozostaje niezmienny, poza przypadkami, gdy taka zmiana będzie wyraźnie przewidziana w umowie lub dopuszczalna na podstawie przepisów Ustawy Pzp.</w:t>
      </w:r>
    </w:p>
    <w:p w14:paraId="0E2794B9" w14:textId="77777777" w:rsidR="005E2F89" w:rsidRDefault="005E2F89" w:rsidP="005E2F89">
      <w:pPr>
        <w:spacing w:after="120" w:line="276" w:lineRule="auto"/>
        <w:jc w:val="center"/>
        <w:rPr>
          <w:rFonts w:ascii="Calibri" w:eastAsia="Cambria" w:hAnsi="Calibri" w:cs="Calibri"/>
          <w:b/>
          <w:kern w:val="0"/>
          <w:sz w:val="24"/>
          <w:szCs w:val="24"/>
          <w:highlight w:val="yellow"/>
          <w:lang w:eastAsia="pl-PL"/>
          <w14:ligatures w14:val="none"/>
        </w:rPr>
      </w:pPr>
    </w:p>
    <w:p w14:paraId="727D46F4" w14:textId="6E9C040C" w:rsidR="00BE52DC" w:rsidRDefault="00BE52DC" w:rsidP="005E2F89">
      <w:pPr>
        <w:spacing w:after="120" w:line="276" w:lineRule="auto"/>
        <w:jc w:val="center"/>
        <w:rPr>
          <w:rFonts w:ascii="Calibri" w:eastAsia="Cambria" w:hAnsi="Calibri" w:cs="Calibri"/>
          <w:b/>
          <w:kern w:val="0"/>
          <w:sz w:val="24"/>
          <w:szCs w:val="24"/>
          <w:lang w:eastAsia="pl-PL"/>
          <w14:ligatures w14:val="none"/>
        </w:rPr>
      </w:pPr>
      <w:r>
        <w:rPr>
          <w:rFonts w:ascii="Calibri" w:eastAsia="Cambria" w:hAnsi="Calibri" w:cs="Calibri"/>
          <w:b/>
          <w:kern w:val="0"/>
          <w:sz w:val="24"/>
          <w:szCs w:val="24"/>
          <w:lang w:eastAsia="pl-PL"/>
          <w14:ligatures w14:val="none"/>
        </w:rPr>
        <w:t>§3</w:t>
      </w:r>
    </w:p>
    <w:p w14:paraId="5774B0DF" w14:textId="13DBCE12" w:rsidR="005E2F89" w:rsidRPr="005E2F89" w:rsidRDefault="005E2F89" w:rsidP="005E2F89">
      <w:pPr>
        <w:spacing w:after="120" w:line="276" w:lineRule="auto"/>
        <w:jc w:val="center"/>
        <w:rPr>
          <w:rFonts w:ascii="Calibri" w:eastAsia="Cambria" w:hAnsi="Calibri" w:cs="Calibri"/>
          <w:b/>
          <w:kern w:val="0"/>
          <w:sz w:val="24"/>
          <w:szCs w:val="24"/>
          <w:lang w:eastAsia="pl-PL"/>
          <w14:ligatures w14:val="none"/>
        </w:rPr>
      </w:pPr>
      <w:r w:rsidRPr="005E2F89">
        <w:rPr>
          <w:rFonts w:ascii="Calibri" w:eastAsia="Cambria" w:hAnsi="Calibri" w:cs="Calibri"/>
          <w:b/>
          <w:kern w:val="0"/>
          <w:sz w:val="24"/>
          <w:szCs w:val="24"/>
          <w:lang w:eastAsia="pl-PL"/>
          <w14:ligatures w14:val="none"/>
        </w:rPr>
        <w:t>Bilansowanie handlowe</w:t>
      </w:r>
    </w:p>
    <w:p w14:paraId="32B23D8B" w14:textId="77777777" w:rsidR="005E2F89" w:rsidRPr="005E2F89" w:rsidRDefault="005E2F89" w:rsidP="005E2F89">
      <w:pPr>
        <w:numPr>
          <w:ilvl w:val="0"/>
          <w:numId w:val="1"/>
        </w:numPr>
        <w:overflowPunct w:val="0"/>
        <w:autoSpaceDE w:val="0"/>
        <w:autoSpaceDN w:val="0"/>
        <w:adjustRightInd w:val="0"/>
        <w:spacing w:after="0" w:line="276" w:lineRule="auto"/>
        <w:ind w:left="426" w:hanging="426"/>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Wykonawca w ramach Umowy pełni funkcję Podmiotu Odpowiedzialnego za Bilansowanie Handlowe dla energii elektrycznej sprzedanej do PPE Zamawiającego. Bilansowanie rozumiane jest jako pokrycie strat wynikających z różnicy zużycia energii prognozowanego w stosunku do rzeczywistego w danym okresie rozliczeniowym.</w:t>
      </w:r>
    </w:p>
    <w:p w14:paraId="7AEFD1DD" w14:textId="77777777" w:rsidR="005E2F89" w:rsidRPr="005E2F89" w:rsidRDefault="005E2F89" w:rsidP="005E2F89">
      <w:pPr>
        <w:numPr>
          <w:ilvl w:val="0"/>
          <w:numId w:val="1"/>
        </w:numPr>
        <w:overflowPunct w:val="0"/>
        <w:autoSpaceDE w:val="0"/>
        <w:autoSpaceDN w:val="0"/>
        <w:adjustRightInd w:val="0"/>
        <w:spacing w:after="0" w:line="276" w:lineRule="auto"/>
        <w:ind w:left="426" w:hanging="426"/>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 xml:space="preserve">Wykonawca zwalnia Zamawiającego z wszelkich kosztów i obowiązków związanych z bilansowaniem handlowym oraz przygotowywaniem i zgłaszaniem grafików zapotrzebowania na energię elektryczną do OSD oraz OSP. </w:t>
      </w:r>
    </w:p>
    <w:p w14:paraId="14D5B5A0" w14:textId="77777777" w:rsidR="005E2F89" w:rsidRDefault="005E2F89"/>
    <w:p w14:paraId="25F2BDD7" w14:textId="2ABD9B0F" w:rsidR="00BE52DC" w:rsidRDefault="00BE52DC" w:rsidP="005E2F89">
      <w:pPr>
        <w:spacing w:after="240" w:line="276" w:lineRule="auto"/>
        <w:ind w:left="426"/>
        <w:contextualSpacing/>
        <w:jc w:val="center"/>
        <w:rPr>
          <w:rFonts w:ascii="Calibri" w:eastAsia="Cambria" w:hAnsi="Calibri" w:cs="Calibri"/>
          <w:b/>
          <w:bCs/>
          <w:kern w:val="0"/>
          <w:sz w:val="24"/>
          <w:szCs w:val="24"/>
          <w:lang w:eastAsia="pl-PL"/>
          <w14:ligatures w14:val="none"/>
        </w:rPr>
      </w:pPr>
      <w:r>
        <w:rPr>
          <w:rFonts w:ascii="Calibri" w:eastAsia="Cambria" w:hAnsi="Calibri" w:cs="Calibri"/>
          <w:b/>
          <w:bCs/>
          <w:kern w:val="0"/>
          <w:sz w:val="24"/>
          <w:szCs w:val="24"/>
          <w:lang w:eastAsia="pl-PL"/>
          <w14:ligatures w14:val="none"/>
        </w:rPr>
        <w:t>§4</w:t>
      </w:r>
    </w:p>
    <w:p w14:paraId="3B6ED39E" w14:textId="72544548" w:rsidR="005E2F89" w:rsidRPr="005E2F89" w:rsidRDefault="005E2F89" w:rsidP="005E2F89">
      <w:pPr>
        <w:spacing w:after="240" w:line="276" w:lineRule="auto"/>
        <w:ind w:left="426"/>
        <w:contextualSpacing/>
        <w:jc w:val="center"/>
        <w:rPr>
          <w:rFonts w:ascii="Calibri" w:eastAsia="Cambria" w:hAnsi="Calibri" w:cs="Calibri"/>
          <w:b/>
          <w:bCs/>
          <w:kern w:val="0"/>
          <w:sz w:val="24"/>
          <w:szCs w:val="24"/>
          <w:lang w:eastAsia="pl-PL"/>
          <w14:ligatures w14:val="none"/>
        </w:rPr>
      </w:pPr>
      <w:r w:rsidRPr="005E2F89">
        <w:rPr>
          <w:rFonts w:ascii="Calibri" w:eastAsia="Cambria" w:hAnsi="Calibri" w:cs="Calibri"/>
          <w:b/>
          <w:bCs/>
          <w:kern w:val="0"/>
          <w:sz w:val="24"/>
          <w:szCs w:val="24"/>
          <w:lang w:eastAsia="pl-PL"/>
          <w14:ligatures w14:val="none"/>
        </w:rPr>
        <w:t>Postanowienia w zakresie rozliczenia</w:t>
      </w:r>
    </w:p>
    <w:p w14:paraId="25B937D5" w14:textId="77777777" w:rsidR="005E2F89" w:rsidRPr="005E2F89" w:rsidRDefault="005E2F89" w:rsidP="005E2F89">
      <w:pPr>
        <w:spacing w:after="0" w:line="276" w:lineRule="auto"/>
        <w:ind w:left="426"/>
        <w:contextualSpacing/>
        <w:jc w:val="both"/>
        <w:rPr>
          <w:rFonts w:ascii="Calibri" w:eastAsia="Cambria" w:hAnsi="Calibri" w:cs="Calibri"/>
          <w:kern w:val="0"/>
          <w:sz w:val="24"/>
          <w:szCs w:val="24"/>
          <w:lang w:eastAsia="pl-PL"/>
          <w14:ligatures w14:val="none"/>
        </w:rPr>
      </w:pPr>
    </w:p>
    <w:p w14:paraId="4D9F9B47"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Rozliczenia za sprzedaną energię elektryczną i świadczenie usług dystrybucji odbywać się będą na podstawie danych pomiarowo-rozliczeniowych przekazywanych Wykonawcy przez OSD.</w:t>
      </w:r>
    </w:p>
    <w:p w14:paraId="70B80D53"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Wykonawca wystawia faktury VAT obejmujące należności za dany okres rozliczeniowy w terminie do 14 dni od dnia otrzymania od OSD danych pomiarowo-rozliczeniowych Zamawiającego. Faktury, w tym faktury korygujące, Wykonawca wystawia i udostępnia zgodnie z obowiązującymi przepisami prawa, w szczególności w postaci faktur ustrukturyzowanych przy użyciu Krajowego Systemu e-Faktur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w:t>
      </w:r>
    </w:p>
    <w:p w14:paraId="5FE42887"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Należności za sprzedaż energii elektrycznej i świadczenie usług dystrybucji regulowane będą na podstawie faktur VAT wystawianych przez Wykonawcę zgodnie z Załącznikiem nr 1 do Umowy, stanowiącym szczegółowy podział odbiorców energii elektrycznej Zamawiającego, w szczególności w zakresie wskazania Odbiorcy/Płatnika. Wykonawca zobowiązany jest stosować na fakturach prawidłowe dane Nabywcy, Odbiorcy i Płatnika, umożliwiające ich prawidłową identyfikację i odbiór w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w:t>
      </w:r>
    </w:p>
    <w:p w14:paraId="4EF3BB27"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W przypadku niedotrzymania terminu płatności Wykonawca może obciążyć Zamawiającego odsetkami ustawowymi.</w:t>
      </w:r>
    </w:p>
    <w:p w14:paraId="775FA786"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Należność Wykonawcy za sprzedaną energię elektryczną i świadczenie usługi dystrybucji w okresach rozliczeniowych obliczana będzie indywidualnie dla każdego punktu poboru </w:t>
      </w:r>
      <w:r>
        <w:rPr>
          <w:rFonts w:ascii="Calibri" w:eastAsia="Cambria" w:hAnsi="Calibri" w:cs="Calibri"/>
          <w:kern w:val="0"/>
          <w:sz w:val="24"/>
          <w:szCs w:val="24"/>
          <w:lang w:eastAsia="pl-PL"/>
          <w14:ligatures w14:val="none"/>
        </w:rPr>
        <w:lastRenderedPageBreak/>
        <w:t>energii na podstawie danych pomiarowo-rozliczeniowych przekazywanych Wykonawcy przez OSD i cen jednostkowych energii elektrycznej określonych w Umowie.</w:t>
      </w:r>
    </w:p>
    <w:p w14:paraId="2BAAB026"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Należności wynikające z faktur VAT będą płatne w terminie 21 dni od dnia otrzymania prawidłowo wystawionej faktury. W przypadku faktury ustrukturyzowanej za dzień jej otrzymania uznaje się dzień nadania fakturze numeru identyfikującego w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W przypadku faktury wystawionej poza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zgodnie z obowiązującymi przepisami prawa, za dzień jej otrzymania uznaje się dzień skutecznego doręczenia Zamawiającemu.</w:t>
      </w:r>
    </w:p>
    <w:p w14:paraId="4E346E02"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Zapłata nastąpi na rachunek bankowy wskazany na fakturze, znajdujący się - jeżeli wymagają tego przepisy prawa - w wykazie podmiotów, o którym mowa w art. 96b ustawy o podatku od towarów i usług. Za dzień zapłaty uznaje się datę uznania rachunku bankowego Wykonawcy.</w:t>
      </w:r>
    </w:p>
    <w:p w14:paraId="4C6D1226"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Do każdej faktury Wykonawca załączy specyfikację określającą ilość energii elektrycznej pobranej w poszczególnych punktach poboru oraz wysokość należności dla każdego punktu poboru oddzielnie, o ile faktura nie zawiera tych informacji. Specyfikacja może zostać przekazana jako załącznik do faktury w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jeżeli jest to dopuszczalne i technicznie możliwe, albo odrębnie na adres e-mail Zamawiającego: ……………………………………… . Specyfikacja przekazywana odrębnie powinna zawierać numer faktury oraz numer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jeżeli został nadany.</w:t>
      </w:r>
    </w:p>
    <w:p w14:paraId="0F5E2A54"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Zamawiającemu (Odbiorcy/Płatnikowi), w przypadku wątpliwości co do prawidłowości wystawionej faktury, przysługuje prawo do wniesienia pisemnej lub elektronicznej reklamacji, którą Wykonawca ma obowiązek rozpatrzyć w terminie do 14 dni od dnia jej doręczenia.</w:t>
      </w:r>
    </w:p>
    <w:p w14:paraId="2A8A88EC"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W przypadku uwzględnienia reklamacji Wykonawca niezwłocznie wystawi fakturę korygującą i przekaże ją zgodnie z zasadami właściwymi dla wystawienia faktury pierwotnej, w szczególności przy użyciu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jeżeli wymagają tego obowiązujące przepisy prawa. W przypadku powstania nadpłaty Wykonawca zwróci ją na wskazany rachunek bankowy w terminie 14 dni kalendarzowych od dnia otrzymania pisemnego żądania Zamawiającego (Odbiorcy/Płatnika), a jeżeli Zamawiający nie wystąpi z takim żądaniem - zaliczy ją na poczet przyszłych zobowiązań.</w:t>
      </w:r>
    </w:p>
    <w:p w14:paraId="1FB38640"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Wniesienie przez Zamawiającego lub Odbiorcę/Płatnika reklamacji do Wykonawcy nie zwalnia z obowiązku terminowej zapłaty należności w wysokości określonej na fakturze, chyba że:</w:t>
      </w:r>
    </w:p>
    <w:p w14:paraId="056DFE11" w14:textId="77777777" w:rsidR="005E2F89" w:rsidRPr="005E2F89" w:rsidRDefault="005E2F89" w:rsidP="005E2F89">
      <w:pPr>
        <w:numPr>
          <w:ilvl w:val="0"/>
          <w:numId w:val="6"/>
        </w:numPr>
        <w:spacing w:after="0" w:line="276" w:lineRule="auto"/>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na fakturze uwzględniono punkty poboru nienależące do Zamawiającego/Odbiorcy/Płatnika lub nieobjęte niniejszą Umową;</w:t>
      </w:r>
    </w:p>
    <w:p w14:paraId="453207C9" w14:textId="77777777" w:rsidR="005E2F89" w:rsidRPr="005E2F89" w:rsidRDefault="005E2F89" w:rsidP="005E2F89">
      <w:pPr>
        <w:numPr>
          <w:ilvl w:val="0"/>
          <w:numId w:val="6"/>
        </w:numPr>
        <w:spacing w:after="0" w:line="276" w:lineRule="auto"/>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uwzględnione na fakturze stawki za sprzedaż energii elektrycznej są niezgodne ze stawkami zawartymi w Formularzu Kalkulacji Cenowej Wykonawcy lub faktura zawiera dodatkowe opłaty nieuwzględnione w Umowie;</w:t>
      </w:r>
    </w:p>
    <w:p w14:paraId="2B618F40" w14:textId="77777777" w:rsidR="005E2F89" w:rsidRPr="005E2F89" w:rsidRDefault="005E2F89" w:rsidP="005E2F89">
      <w:pPr>
        <w:numPr>
          <w:ilvl w:val="0"/>
          <w:numId w:val="6"/>
        </w:numPr>
        <w:spacing w:after="0" w:line="276" w:lineRule="auto"/>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fakturą objęto okres rozliczeniowy wykraczający poza okres dostaw przewidziany niniejszą Umową.</w:t>
      </w:r>
    </w:p>
    <w:p w14:paraId="58C14CEF"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W przypadku stwierdzenia błędów w pomiarze lub odczycie wskazań układu pomiarowo-rozliczeniowego, które spowodowały zawyżenie lub zaniżenie należności za pobraną </w:t>
      </w:r>
      <w:r>
        <w:rPr>
          <w:rFonts w:ascii="Calibri" w:eastAsia="Cambria" w:hAnsi="Calibri" w:cs="Calibri"/>
          <w:kern w:val="0"/>
          <w:sz w:val="24"/>
          <w:szCs w:val="24"/>
          <w:lang w:eastAsia="pl-PL"/>
          <w14:ligatures w14:val="none"/>
        </w:rPr>
        <w:lastRenderedPageBreak/>
        <w:t xml:space="preserve">energię elektryczną, Wykonawca dokonuje korekty uprzednio wystawionej faktury zgodnie z obowiązującymi przepisami prawa, w tym przepisami dotyczącymi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w:t>
      </w:r>
    </w:p>
    <w:p w14:paraId="0AB15FFE" w14:textId="77777777" w:rsid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Zamawiający oświadcza, iż planowane pobory energii elektrycznej w okresie obowiązywania niniejszej Umowy określone są w Załączniku nr 1 do Umowy dla każdego z punktów poboru. Na tej podstawie szacuje się wartość niniejszej Umowy na kwotę brutto z VAT w wysokości: ……………………………… zł (słownie: …………………………….). Ilość energii elektrycznej wskazana w Załączniku nr 1 do Umowy, jak również oszacowana wartość Umowy, nie stanowią zobowiązania Zamawiającego do zużycia energii elektrycznej w podanej ilości i nie mogą być podstawą jakichkolwiek roszczeń Wykonawcy.</w:t>
      </w:r>
    </w:p>
    <w:p w14:paraId="5EF66586" w14:textId="1A7005B9" w:rsidR="00FD6B97" w:rsidRPr="005E2F89" w:rsidRDefault="00FD6B97"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sidRPr="00FD6B97">
        <w:rPr>
          <w:rFonts w:ascii="Calibri" w:eastAsia="Cambria" w:hAnsi="Calibri" w:cs="Calibri"/>
          <w:kern w:val="0"/>
          <w:sz w:val="24"/>
          <w:szCs w:val="24"/>
          <w:lang w:eastAsia="pl-PL"/>
          <w14:ligatures w14:val="none"/>
        </w:rPr>
        <w:t>Wskazany w Załączniku nr 1 do Umowy wolumen energii elektrycznej ma charakter szacunkowy i służy obliczeniu ceny oferty oraz oszacowaniu wartości Umowy. Rozliczenia będą dokonywane według rzeczywistego zużycia energii elektrycznej w poszczególnych punktach poboru, ustalonego na podstawie danych pomiarowo-rozliczeniowych OSD. Różnica pomiędzy zużyciem szacowanym a rzeczywistym, wynikająca z bieżącego zapotrzebowania obiektów Zamawiającego, nie stanowi zmiany ani ograniczenia zakresu Umowy. Wykonawca zobowiązany jest zapewnić kompleksową dostawę energii elektrycznej do punktów poboru objętych Umową przez cały przewidziany dla nich okres dostaw.</w:t>
      </w:r>
    </w:p>
    <w:p w14:paraId="51BC4DB7" w14:textId="77777777" w:rsidR="005E2F89" w:rsidRPr="005E2F89" w:rsidRDefault="005E2F89" w:rsidP="005E2F89">
      <w:pPr>
        <w:numPr>
          <w:ilvl w:val="0"/>
          <w:numId w:val="5"/>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 xml:space="preserve">Faktury mogą być wystawiane i przekazywane poza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wyłącznie w przypadkach dopuszczonych obowiązującymi przepisami prawa, w szczególności w okresie awarii lub niedostępności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albo w przypadku ustawowego wyłączenia z obowiązku korzystania z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W takim przypadku Wykonawca przekazuje fakturę za pośrednictwem Platformy Elektronicznego Fakturowania (PEF) albo na adres e-mail Zamawiającego: ………………………………………, a następnie przesyła ją do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w terminie wymaganym przepisami prawa, jeżeli taki obowiązek powstanie. Przesłana poza </w:t>
      </w:r>
      <w:proofErr w:type="spellStart"/>
      <w:r>
        <w:rPr>
          <w:rFonts w:ascii="Calibri" w:eastAsia="Cambria" w:hAnsi="Calibri" w:cs="Calibri"/>
          <w:kern w:val="0"/>
          <w:sz w:val="24"/>
          <w:szCs w:val="24"/>
          <w:lang w:eastAsia="pl-PL"/>
          <w14:ligatures w14:val="none"/>
        </w:rPr>
        <w:t>KSeF</w:t>
      </w:r>
      <w:proofErr w:type="spellEnd"/>
      <w:r>
        <w:rPr>
          <w:rFonts w:ascii="Calibri" w:eastAsia="Cambria" w:hAnsi="Calibri" w:cs="Calibri"/>
          <w:kern w:val="0"/>
          <w:sz w:val="24"/>
          <w:szCs w:val="24"/>
          <w:lang w:eastAsia="pl-PL"/>
          <w14:ligatures w14:val="none"/>
        </w:rPr>
        <w:t xml:space="preserve"> wizualizacja faktury ustrukturyzowanej ma wyłącznie charakter informacyjny i nie zmienia dnia otrzymania faktury ustalonego zgodnie z ust. 6.</w:t>
      </w:r>
    </w:p>
    <w:p w14:paraId="5B1C41A0" w14:textId="77777777" w:rsidR="00BE52DC" w:rsidRDefault="00BE52DC" w:rsidP="00FD6B97">
      <w:pPr>
        <w:keepNext/>
        <w:spacing w:after="240" w:line="276" w:lineRule="auto"/>
        <w:rPr>
          <w:rFonts w:ascii="Calibri" w:eastAsia="Cambria" w:hAnsi="Calibri" w:cs="Calibri"/>
          <w:b/>
          <w:kern w:val="0"/>
          <w:sz w:val="24"/>
          <w:szCs w:val="24"/>
          <w:lang w:eastAsia="pl-PL"/>
          <w14:ligatures w14:val="none"/>
        </w:rPr>
      </w:pPr>
    </w:p>
    <w:p w14:paraId="44EC67A0" w14:textId="6FBFC20D" w:rsidR="00BE52DC" w:rsidRDefault="00BE52DC" w:rsidP="005E2F89">
      <w:pPr>
        <w:keepNext/>
        <w:spacing w:after="240" w:line="276" w:lineRule="auto"/>
        <w:jc w:val="center"/>
        <w:rPr>
          <w:rFonts w:ascii="Calibri" w:eastAsia="Cambria" w:hAnsi="Calibri" w:cs="Calibri"/>
          <w:b/>
          <w:kern w:val="0"/>
          <w:sz w:val="24"/>
          <w:szCs w:val="24"/>
          <w:lang w:eastAsia="pl-PL"/>
          <w14:ligatures w14:val="none"/>
        </w:rPr>
      </w:pPr>
      <w:r>
        <w:rPr>
          <w:rFonts w:ascii="Calibri" w:eastAsia="Cambria" w:hAnsi="Calibri" w:cs="Calibri"/>
          <w:b/>
          <w:kern w:val="0"/>
          <w:sz w:val="24"/>
          <w:szCs w:val="24"/>
          <w:lang w:eastAsia="pl-PL"/>
          <w14:ligatures w14:val="none"/>
        </w:rPr>
        <w:t>§5</w:t>
      </w:r>
    </w:p>
    <w:p w14:paraId="2807B3AD" w14:textId="3DFA4316" w:rsidR="005E2F89" w:rsidRPr="005E2F89" w:rsidRDefault="005E2F89" w:rsidP="005E2F89">
      <w:pPr>
        <w:keepNext/>
        <w:spacing w:after="240" w:line="276" w:lineRule="auto"/>
        <w:jc w:val="center"/>
        <w:rPr>
          <w:rFonts w:ascii="Calibri" w:eastAsia="Cambria" w:hAnsi="Calibri" w:cs="Calibri"/>
          <w:b/>
          <w:kern w:val="0"/>
          <w:sz w:val="24"/>
          <w:szCs w:val="24"/>
          <w:lang w:eastAsia="pl-PL"/>
          <w14:ligatures w14:val="none"/>
        </w:rPr>
      </w:pPr>
      <w:r w:rsidRPr="005E2F89">
        <w:rPr>
          <w:rFonts w:ascii="Calibri" w:eastAsia="Cambria" w:hAnsi="Calibri" w:cs="Calibri"/>
          <w:b/>
          <w:kern w:val="0"/>
          <w:sz w:val="24"/>
          <w:szCs w:val="24"/>
          <w:lang w:eastAsia="pl-PL"/>
          <w14:ligatures w14:val="none"/>
        </w:rPr>
        <w:t>Kary umowne, odszkodowanie</w:t>
      </w:r>
    </w:p>
    <w:p w14:paraId="4A84CBD0" w14:textId="19256367" w:rsidR="005E2F89" w:rsidRPr="005E2F89" w:rsidRDefault="005E2F89" w:rsidP="005E2F89">
      <w:pPr>
        <w:numPr>
          <w:ilvl w:val="0"/>
          <w:numId w:val="7"/>
        </w:numPr>
        <w:overflowPunct w:val="0"/>
        <w:autoSpaceDE w:val="0"/>
        <w:autoSpaceDN w:val="0"/>
        <w:adjustRightInd w:val="0"/>
        <w:spacing w:after="0" w:line="276" w:lineRule="auto"/>
        <w:ind w:left="426" w:hanging="426"/>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 xml:space="preserve">Wykonawca zapłaci karę umowną za wypowiedzenie lub odstąpienie od Umowy przez którąkolwiek ze stron z przyczyn leżących po stronie Wykonawcy w wysokości 10% wartości Umowy brutto wskazanej w § </w:t>
      </w:r>
      <w:r w:rsidR="00FD6B97">
        <w:rPr>
          <w:rFonts w:ascii="Calibri" w:eastAsia="Cambria" w:hAnsi="Calibri" w:cs="Calibri"/>
          <w:kern w:val="0"/>
          <w:sz w:val="24"/>
          <w:szCs w:val="24"/>
          <w:lang w:eastAsia="pl-PL"/>
          <w14:ligatures w14:val="none"/>
        </w:rPr>
        <w:t>4</w:t>
      </w:r>
      <w:r w:rsidRPr="005E2F89">
        <w:rPr>
          <w:rFonts w:ascii="Calibri" w:eastAsia="Cambria" w:hAnsi="Calibri" w:cs="Calibri"/>
          <w:kern w:val="0"/>
          <w:sz w:val="24"/>
          <w:szCs w:val="24"/>
          <w:lang w:eastAsia="pl-PL"/>
          <w14:ligatures w14:val="none"/>
        </w:rPr>
        <w:t xml:space="preserve"> ust. 1</w:t>
      </w:r>
      <w:r w:rsidR="00FD6B97">
        <w:rPr>
          <w:rFonts w:ascii="Calibri" w:eastAsia="Cambria" w:hAnsi="Calibri" w:cs="Calibri"/>
          <w:kern w:val="0"/>
          <w:sz w:val="24"/>
          <w:szCs w:val="24"/>
          <w:lang w:eastAsia="pl-PL"/>
          <w14:ligatures w14:val="none"/>
        </w:rPr>
        <w:t>3</w:t>
      </w:r>
      <w:r w:rsidRPr="005E2F89">
        <w:rPr>
          <w:rFonts w:ascii="Calibri" w:eastAsia="Cambria" w:hAnsi="Calibri" w:cs="Calibri"/>
          <w:kern w:val="0"/>
          <w:sz w:val="24"/>
          <w:szCs w:val="24"/>
          <w:lang w:eastAsia="pl-PL"/>
          <w14:ligatures w14:val="none"/>
        </w:rPr>
        <w:t xml:space="preserve"> Umowy.</w:t>
      </w:r>
    </w:p>
    <w:p w14:paraId="638BCDD7" w14:textId="33F6727F" w:rsidR="005E2F89" w:rsidRPr="005E2F89" w:rsidRDefault="005E2F89" w:rsidP="005E2F89">
      <w:pPr>
        <w:numPr>
          <w:ilvl w:val="0"/>
          <w:numId w:val="7"/>
        </w:numPr>
        <w:overflowPunct w:val="0"/>
        <w:autoSpaceDE w:val="0"/>
        <w:autoSpaceDN w:val="0"/>
        <w:adjustRightInd w:val="0"/>
        <w:spacing w:after="0" w:line="276" w:lineRule="auto"/>
        <w:ind w:left="426" w:hanging="426"/>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Zamawiający zapłaci Wykonawcy karę umowną za odstąpienie od Umowy lub rozwiązanie umowy przez którąkolwiek ze stron z przyczyn zależnych od Zamawiającego w wysokości 10% wartości Umowy brutto</w:t>
      </w:r>
      <w:r w:rsidR="00FD6B97">
        <w:rPr>
          <w:rFonts w:ascii="Calibri" w:eastAsia="Cambria" w:hAnsi="Calibri" w:cs="Calibri"/>
          <w:kern w:val="0"/>
          <w:sz w:val="24"/>
          <w:szCs w:val="24"/>
          <w:lang w:eastAsia="pl-PL"/>
          <w14:ligatures w14:val="none"/>
        </w:rPr>
        <w:t>.</w:t>
      </w:r>
    </w:p>
    <w:p w14:paraId="0564A4CC" w14:textId="518FD294" w:rsidR="005E2F89" w:rsidRPr="005E2F89" w:rsidRDefault="005E2F89" w:rsidP="005E2F89">
      <w:pPr>
        <w:numPr>
          <w:ilvl w:val="0"/>
          <w:numId w:val="7"/>
        </w:numPr>
        <w:overflowPunct w:val="0"/>
        <w:autoSpaceDE w:val="0"/>
        <w:autoSpaceDN w:val="0"/>
        <w:adjustRightInd w:val="0"/>
        <w:spacing w:after="120" w:line="276" w:lineRule="auto"/>
        <w:ind w:left="426" w:hanging="426"/>
        <w:contextualSpacing/>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 xml:space="preserve">Jeżeli z winy Wykonawcy procedura zmiany sprzedawcy o której mowa w § </w:t>
      </w:r>
      <w:r w:rsidR="00FD6B97">
        <w:rPr>
          <w:rFonts w:ascii="Calibri" w:eastAsia="Cambria" w:hAnsi="Calibri" w:cs="Calibri"/>
          <w:kern w:val="0"/>
          <w:sz w:val="24"/>
          <w:szCs w:val="24"/>
          <w:lang w:eastAsia="pl-PL"/>
          <w14:ligatures w14:val="none"/>
        </w:rPr>
        <w:t>1</w:t>
      </w:r>
      <w:r w:rsidRPr="005E2F89">
        <w:rPr>
          <w:rFonts w:ascii="Calibri" w:eastAsia="Cambria" w:hAnsi="Calibri" w:cs="Calibri"/>
          <w:kern w:val="0"/>
          <w:sz w:val="24"/>
          <w:szCs w:val="24"/>
          <w:lang w:eastAsia="pl-PL"/>
          <w14:ligatures w14:val="none"/>
        </w:rPr>
        <w:t xml:space="preserve"> ust. </w:t>
      </w:r>
      <w:r w:rsidR="00FD6B97">
        <w:rPr>
          <w:rFonts w:ascii="Calibri" w:eastAsia="Cambria" w:hAnsi="Calibri" w:cs="Calibri"/>
          <w:kern w:val="0"/>
          <w:sz w:val="24"/>
          <w:szCs w:val="24"/>
          <w:lang w:eastAsia="pl-PL"/>
          <w14:ligatures w14:val="none"/>
        </w:rPr>
        <w:t>5-6</w:t>
      </w:r>
      <w:r w:rsidRPr="005E2F89">
        <w:rPr>
          <w:rFonts w:ascii="Calibri" w:eastAsia="Cambria" w:hAnsi="Calibri" w:cs="Calibri"/>
          <w:kern w:val="0"/>
          <w:sz w:val="24"/>
          <w:szCs w:val="24"/>
          <w:lang w:eastAsia="pl-PL"/>
          <w14:ligatures w14:val="none"/>
        </w:rPr>
        <w:t xml:space="preserve"> nie dojdzie do skutku w wymaganym terminie, uniemożliwiając tym samym rozpoczęcie </w:t>
      </w:r>
      <w:r w:rsidRPr="005E2F89">
        <w:rPr>
          <w:rFonts w:ascii="Calibri" w:eastAsia="Cambria" w:hAnsi="Calibri" w:cs="Calibri"/>
          <w:kern w:val="0"/>
          <w:sz w:val="24"/>
          <w:szCs w:val="24"/>
          <w:lang w:eastAsia="pl-PL"/>
          <w14:ligatures w14:val="none"/>
        </w:rPr>
        <w:lastRenderedPageBreak/>
        <w:t xml:space="preserve">kompleksowej dostawy energii elektrycznej zgodnie z umową, niezależnie od uprawnień do naliczenia kar umownych wymienionych w ust. 1, Zamawiającemu przysługuje od Wykonawcy odszkodowanie w związku z poniesionymi kosztami zakupu energii elektrycznej kupionej na warunkach innych niż wynikające z Umowy (np. dostawy rezerwowe, zakup w oparciu o taryfę lub cennik Sprzedawcy, który w ramach zastępstwa Wykonawcy będzie świadczył usługę sprzedaży energii elektrycznej) z przyczyn leżących po stronie Wykonawcy. Zwrot kosztów z tytułu zakupu energii elektrycznej od Sprzedawcy rezerwowego lub Sprzedawcy, który ramach zastępstwa Wykonawcy będzie świadczył usługę sprzedaży energii elektrycznej będzie stanowił różnicę między kosztami energii zakupionej od Sprzedawcy rezerwowego, a energii, która była zakupiona na podstawie niniejszej umowy kompleksowej dostawy energii elektrycznej zawartej z Wykonawcą. </w:t>
      </w:r>
    </w:p>
    <w:p w14:paraId="0112EAF9" w14:textId="77777777" w:rsidR="005E2F89" w:rsidRPr="005E2F89" w:rsidRDefault="005E2F89" w:rsidP="005E2F89">
      <w:pPr>
        <w:numPr>
          <w:ilvl w:val="0"/>
          <w:numId w:val="7"/>
        </w:numPr>
        <w:overflowPunct w:val="0"/>
        <w:autoSpaceDE w:val="0"/>
        <w:autoSpaceDN w:val="0"/>
        <w:adjustRightInd w:val="0"/>
        <w:spacing w:after="120" w:line="276" w:lineRule="auto"/>
        <w:ind w:left="426" w:hanging="426"/>
        <w:contextualSpacing/>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Zapłata kar umownych nie wyłącza prawa do dochodzenia odszkodowania uzupełniającego przewyższającego wartość nałożonych kar umownych na zasadach ogólnych.</w:t>
      </w:r>
    </w:p>
    <w:p w14:paraId="4DCD0329" w14:textId="77777777" w:rsidR="005E2F89" w:rsidRPr="005E2F89" w:rsidRDefault="005E2F89" w:rsidP="005E2F89">
      <w:pPr>
        <w:numPr>
          <w:ilvl w:val="0"/>
          <w:numId w:val="7"/>
        </w:numPr>
        <w:overflowPunct w:val="0"/>
        <w:autoSpaceDE w:val="0"/>
        <w:autoSpaceDN w:val="0"/>
        <w:adjustRightInd w:val="0"/>
        <w:spacing w:after="120" w:line="276" w:lineRule="auto"/>
        <w:ind w:left="426" w:hanging="426"/>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Formą obciążenia karą umowną jest nota obciążeniowa. Karę umowną Wykonawca zapłaci Zamawiającemu na podstawie otrzymanej noty obciążeniowej na wskazany rachunek bankowy, w terminie 14 dni od daty wpływu do Wykonawcy. W przypadku braku zapłaty w wyznaczonym terminie Zamawiający, ma prawo potrącić naliczoną karę umowną z wynagrodzenia należnego Wykonawcy na podstawie niniejszej Umowy lub z innej dowolnej należności przysługującej Wykonawcy względem Zamawiającemu.</w:t>
      </w:r>
    </w:p>
    <w:p w14:paraId="363EA130" w14:textId="77777777" w:rsidR="00FD6B97" w:rsidRDefault="00FD6B97" w:rsidP="005E2F89">
      <w:pPr>
        <w:numPr>
          <w:ilvl w:val="0"/>
          <w:numId w:val="7"/>
        </w:numPr>
        <w:overflowPunct w:val="0"/>
        <w:autoSpaceDE w:val="0"/>
        <w:autoSpaceDN w:val="0"/>
        <w:adjustRightInd w:val="0"/>
        <w:spacing w:after="120" w:line="276" w:lineRule="auto"/>
        <w:ind w:left="426" w:hanging="426"/>
        <w:jc w:val="both"/>
        <w:textAlignment w:val="baseline"/>
        <w:rPr>
          <w:rFonts w:ascii="Calibri" w:eastAsia="Cambria" w:hAnsi="Calibri" w:cs="Calibri"/>
          <w:kern w:val="0"/>
          <w:sz w:val="24"/>
          <w:szCs w:val="24"/>
          <w:lang w:eastAsia="pl-PL"/>
          <w14:ligatures w14:val="none"/>
        </w:rPr>
      </w:pPr>
      <w:r w:rsidRPr="00FD6B97">
        <w:rPr>
          <w:rFonts w:ascii="Calibri" w:eastAsia="Cambria" w:hAnsi="Calibri" w:cs="Calibri"/>
          <w:kern w:val="0"/>
          <w:sz w:val="24"/>
          <w:szCs w:val="24"/>
          <w:lang w:eastAsia="pl-PL"/>
          <w14:ligatures w14:val="none"/>
        </w:rPr>
        <w:t>Wykonawca zapłaci Zamawiającemu karę umowną w wysokości 2 000,00 zł za każdy stwierdzony przypadek braku zapłaty lub nieterminowej zapłaty podwykonawcy albo dalszemu podwykonawcy wynagrodzenia należnego z tytułu zmiany jego wysokości, o której mowa w art. 439 ust. 5 ustawy Pzp.</w:t>
      </w:r>
    </w:p>
    <w:p w14:paraId="71536608" w14:textId="0648E9D1" w:rsidR="005E2F89" w:rsidRPr="005E2F89" w:rsidRDefault="005E2F89" w:rsidP="005E2F89">
      <w:pPr>
        <w:numPr>
          <w:ilvl w:val="0"/>
          <w:numId w:val="7"/>
        </w:numPr>
        <w:overflowPunct w:val="0"/>
        <w:autoSpaceDE w:val="0"/>
        <w:autoSpaceDN w:val="0"/>
        <w:adjustRightInd w:val="0"/>
        <w:spacing w:after="120" w:line="276" w:lineRule="auto"/>
        <w:ind w:left="426" w:hanging="426"/>
        <w:jc w:val="both"/>
        <w:textAlignment w:val="baseline"/>
        <w:rPr>
          <w:rFonts w:ascii="Calibri" w:eastAsia="Cambria" w:hAnsi="Calibri" w:cs="Calibri"/>
          <w:kern w:val="0"/>
          <w:sz w:val="24"/>
          <w:szCs w:val="24"/>
          <w:lang w:eastAsia="pl-PL"/>
          <w14:ligatures w14:val="none"/>
        </w:rPr>
      </w:pPr>
      <w:r w:rsidRPr="005E2F89">
        <w:rPr>
          <w:rFonts w:ascii="Calibri" w:eastAsia="Cambria" w:hAnsi="Calibri" w:cs="Calibri"/>
          <w:kern w:val="0"/>
          <w:sz w:val="24"/>
          <w:szCs w:val="24"/>
          <w:lang w:eastAsia="pl-PL"/>
          <w14:ligatures w14:val="none"/>
        </w:rPr>
        <w:t>Łączna wysokość kar umownych nie może przekroczyć 20 % wartości brutto umowy.</w:t>
      </w:r>
    </w:p>
    <w:p w14:paraId="1914CCF8" w14:textId="77777777" w:rsidR="00BE52DC" w:rsidRDefault="00BE52DC" w:rsidP="004C1213">
      <w:pPr>
        <w:spacing w:after="120" w:line="276" w:lineRule="auto"/>
        <w:jc w:val="center"/>
        <w:rPr>
          <w:rFonts w:ascii="Calibri" w:eastAsia="Cambria" w:hAnsi="Calibri" w:cs="Calibri"/>
          <w:b/>
          <w:bCs/>
          <w:kern w:val="0"/>
          <w:sz w:val="24"/>
          <w:szCs w:val="24"/>
          <w:lang w:eastAsia="pl-PL"/>
          <w14:ligatures w14:val="none"/>
        </w:rPr>
      </w:pPr>
    </w:p>
    <w:p w14:paraId="34F1D63E" w14:textId="0C544CD9" w:rsidR="00BE52DC" w:rsidRDefault="00BE52DC" w:rsidP="004C1213">
      <w:pPr>
        <w:spacing w:after="120" w:line="276" w:lineRule="auto"/>
        <w:jc w:val="center"/>
        <w:rPr>
          <w:rFonts w:ascii="Calibri" w:eastAsia="Cambria" w:hAnsi="Calibri" w:cs="Calibri"/>
          <w:b/>
          <w:bCs/>
          <w:kern w:val="0"/>
          <w:sz w:val="24"/>
          <w:szCs w:val="24"/>
          <w:lang w:eastAsia="pl-PL"/>
          <w14:ligatures w14:val="none"/>
        </w:rPr>
      </w:pPr>
      <w:r>
        <w:rPr>
          <w:rFonts w:ascii="Calibri" w:eastAsia="Cambria" w:hAnsi="Calibri" w:cs="Calibri"/>
          <w:b/>
          <w:bCs/>
          <w:kern w:val="0"/>
          <w:sz w:val="24"/>
          <w:szCs w:val="24"/>
          <w:lang w:eastAsia="pl-PL"/>
          <w14:ligatures w14:val="none"/>
        </w:rPr>
        <w:t>§6</w:t>
      </w:r>
    </w:p>
    <w:p w14:paraId="574283FE" w14:textId="2A846A61" w:rsidR="004C1213" w:rsidRPr="004C1213" w:rsidRDefault="004C1213" w:rsidP="004C1213">
      <w:pPr>
        <w:spacing w:after="120" w:line="276" w:lineRule="auto"/>
        <w:jc w:val="center"/>
        <w:rPr>
          <w:rFonts w:ascii="Calibri" w:eastAsia="Cambria" w:hAnsi="Calibri" w:cs="Calibri"/>
          <w:b/>
          <w:kern w:val="0"/>
          <w:sz w:val="24"/>
          <w:szCs w:val="24"/>
          <w:lang w:eastAsia="pl-PL"/>
          <w14:ligatures w14:val="none"/>
        </w:rPr>
      </w:pPr>
      <w:r w:rsidRPr="004C1213">
        <w:rPr>
          <w:rFonts w:ascii="Calibri" w:eastAsia="Cambria" w:hAnsi="Calibri" w:cs="Calibri"/>
          <w:b/>
          <w:bCs/>
          <w:kern w:val="0"/>
          <w:sz w:val="24"/>
          <w:szCs w:val="24"/>
          <w:lang w:eastAsia="pl-PL"/>
          <w14:ligatures w14:val="none"/>
        </w:rPr>
        <w:t>Zmiany umowy</w:t>
      </w:r>
    </w:p>
    <w:p w14:paraId="2DCE908D" w14:textId="77777777" w:rsidR="004C1213" w:rsidRPr="004C1213" w:rsidRDefault="004C1213" w:rsidP="004C1213">
      <w:pPr>
        <w:numPr>
          <w:ilvl w:val="0"/>
          <w:numId w:val="9"/>
        </w:numPr>
        <w:spacing w:after="0" w:line="276" w:lineRule="auto"/>
        <w:ind w:left="426" w:hanging="426"/>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Zamawiający przewiduje możliwość zmiany postanowień zawartej Umowy (w formie aneksu) w stosunku do treści oferty, zgodnie z art. 455 ust. 1 ustawy Pzp, w następujących przypadkach:</w:t>
      </w:r>
    </w:p>
    <w:p w14:paraId="688C2C90"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zmiany przepisów Prawa energetycznego lub wydanych na tej podstawie przepisów wykonawczych mających zastosowanie do Umowy, w tej sytuacji postanowienia Umowy sprzeczne z nimi stracą ważność zaś w ich miejsce będą miały zastosowanie przepisy znowelizowanego prawa. Zmiana odbywa się automatycznie i nie wymaga zawarcia aneksu do Umowy;</w:t>
      </w:r>
    </w:p>
    <w:p w14:paraId="64968B1E"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zmiany (wprowadzenia nowej) Instrukcji Ruchu i Eksploatacji Sieci Rozdzielczej (Dystrybucyjnej) OSD. Zmiana odbywa się automatycznie i nie wymaga zawarcia aneksu do Umowy;</w:t>
      </w:r>
    </w:p>
    <w:p w14:paraId="7E63F2EF"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lastRenderedPageBreak/>
        <w:t>zmiany cen jednostkowych i stawek opłat określonych dla kompleksowej dostawy energii elektrycznej będącej wyłącznie skutkiem zmiany stawki podatku akcyzowego lub stawki podatku VAT. Zmiana odbywa się automatycznie i  nie wymaga zawarcia aneksu do Umowy;</w:t>
      </w:r>
    </w:p>
    <w:p w14:paraId="5B6BB063"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zmiany cen jednostkowych za świadczenie usługi dystrybucji wyłącznie w przypadku zmiany taryfy OSD zatwierdzanej przez Prezesa Urzędu Regulacji Energetyki (URE). Zmiana odbywa się automatycznie i nie wymaga zawarcia aneksu do Umowy;</w:t>
      </w:r>
    </w:p>
    <w:p w14:paraId="4D5A9FA7"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zmiany mocy umownej, w takiej sytuacji od następnego okresu rozliczeniowego po zmianie mocy umownej nastąpi jej przyjęcie w rozliczeniach zgodnie z Taryfą OSD (zmiana zostanie potwierdzona dokumentem OTS wydanym przez Dystrybutora). Zmiana następuje automatycznie na dany okres rozliczeniowy i nie wymaga zawarcia  aneksu do Umowy;</w:t>
      </w:r>
    </w:p>
    <w:p w14:paraId="28ABB3C5"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Zmiany maksymalnej szacunkowej wartości umowy, wynikającej z okoliczności opisanych w ust. 1 pkt 3), 4) i 5). Zmiana odbywa się automatycznie i nie wymaga zawarcia aneksu do Umowy;</w:t>
      </w:r>
    </w:p>
    <w:p w14:paraId="5E1C47D5"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Pr>
          <w:rFonts w:ascii="Calibri" w:eastAsia="Cambria" w:hAnsi="Calibri" w:cs="Calibri"/>
          <w:kern w:val="0"/>
          <w:sz w:val="24"/>
          <w:szCs w:val="24"/>
          <w:lang w:eastAsia="pl-PL"/>
          <w14:ligatures w14:val="none"/>
        </w:rPr>
        <w:t>zmiany liczby punktów poboru energii elektrycznej w przypadku: a) wybudowania lub przejęcia przez Zamawiającego nowych obiektów w trakcie trwania Umowy; b) zlikwidowania bądź sprzedaży obiektów Zamawiającego w okresie trwania Umowy. Zamawiający ma prawo do zmniejszenia lub zwiększenia liczby punktów poboru energii elektrycznej, przy czym stawki cenowe podane w Formularzu Kalkulacji Cenowej obowiązują także dla nowych punktów poboru energii elektrycznej. Zwiększenie liczby punktów poboru możliwe jest wyłącznie w obrębie grup taryfowych ujętych w SWZ i wycenionych przez Wykonawcę w Formularzu Kalkulacji Cenowej oraz nie może spowodować zwiększenia łącznego wolumenu poboru energii elektrycznej o więcej niż 10% wolumenu określonego w Załączniku nr 1 do Umowy. Zmiana liczby punktów poboru następuje w formie aneksu aktualizującego Załącznik nr 1 do Umowy. Zawarcie aneksu ma charakter porządkowy i nie wymaga renegocjowania pozostałych warunków Umowy; aktualizacja Załącznika nr 1 nie stanowi zmiany tych warunków. Wykonawca zobowiązuje się podpisać taki aneks na żądanie Zamawiającego;</w:t>
      </w:r>
    </w:p>
    <w:p w14:paraId="7DFCAA37" w14:textId="76F1E260"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 xml:space="preserve">Zamawiający zastrzega sobie prawo do wyłączenia punktów poboru energii wskazanych w Załączniku nr ….. (Wykaz Punktów poboru do SWZ) posiadających instalacje fotowoltaiczne, których nie będzie w stanie rozliczać w formie </w:t>
      </w:r>
      <w:proofErr w:type="spellStart"/>
      <w:r w:rsidRPr="004C1213">
        <w:rPr>
          <w:rFonts w:ascii="Calibri" w:eastAsia="Cambria" w:hAnsi="Calibri" w:cs="Calibri"/>
          <w:kern w:val="0"/>
          <w:sz w:val="24"/>
          <w:szCs w:val="24"/>
          <w:lang w:eastAsia="pl-PL"/>
          <w14:ligatures w14:val="none"/>
        </w:rPr>
        <w:t>prosumenckiej</w:t>
      </w:r>
      <w:proofErr w:type="spellEnd"/>
      <w:r w:rsidRPr="004C1213">
        <w:rPr>
          <w:rFonts w:ascii="Calibri" w:eastAsia="Cambria" w:hAnsi="Calibri" w:cs="Calibri"/>
          <w:kern w:val="0"/>
          <w:sz w:val="24"/>
          <w:szCs w:val="24"/>
          <w:lang w:eastAsia="pl-PL"/>
          <w14:ligatures w14:val="none"/>
        </w:rPr>
        <w:t xml:space="preserve"> w ramach realizowanej umowy. </w:t>
      </w:r>
    </w:p>
    <w:p w14:paraId="611AF923"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 w ustawie z dnia 10 kwietnia 1997 r. Prawo energetyczne. Zmiana następuje automatycznie z dniem wejścia w życie zmienionych przepisów, nie wymaga oświadczenia woli Zamawiającego, ani  zawarcia  aneksu do Umowy, z zastrzeżeniem wymogów ustawowych w zakresie składania dokumentów;</w:t>
      </w:r>
    </w:p>
    <w:p w14:paraId="62D4A8FA"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 w ustawie z dnia 6 grudnia 2008 r. o podatku akcyzowym, w zakresie akcyzy na energię elektryczną. Zmiana odbywa się automatycznie i nie wymaga zawarcia aneksu do Umowy;</w:t>
      </w:r>
    </w:p>
    <w:p w14:paraId="136362ED" w14:textId="77777777" w:rsidR="004C1213" w:rsidRPr="004C1213" w:rsidRDefault="004C1213" w:rsidP="004C1213">
      <w:pPr>
        <w:numPr>
          <w:ilvl w:val="0"/>
          <w:numId w:val="10"/>
        </w:numPr>
        <w:spacing w:after="0" w:line="276" w:lineRule="auto"/>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lastRenderedPageBreak/>
        <w:t>W przypadku ustanowienia powszechnie obowiązujących norm prawa określających zasady interwencji państwa w sektorze energetycznym, mających wpływ na obniżenie kosztów (ceny) realizacji przedmiotowej umowy. Zmiana następuje automatycznie z dniem wejścia w życie zmienionych przepisów, nie wymaga oświadczenia woli Zamawiającego, ani  zawarcia  aneksu do Umowy, z zastrzeżeniem wymogów ustawowych w zakresie składania dokumentów.</w:t>
      </w:r>
    </w:p>
    <w:p w14:paraId="66D6EB59" w14:textId="77777777" w:rsidR="004C1213" w:rsidRPr="004C1213" w:rsidRDefault="004C1213" w:rsidP="004C1213">
      <w:pPr>
        <w:numPr>
          <w:ilvl w:val="0"/>
          <w:numId w:val="9"/>
        </w:numPr>
        <w:spacing w:after="0" w:line="276" w:lineRule="auto"/>
        <w:ind w:left="426" w:hanging="426"/>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Zmiana postanowień Umowy może nastąpić tylko za zgodą obu jej Stron wyrażoną na piśmie, w formie aneksu do Umowy, sporządzonego przez Zamawiającego, pod rygorem nieważności takiej zmiany z zastrzeżeniem zasad dokonania zmian opisanych w ust. 1.</w:t>
      </w:r>
    </w:p>
    <w:p w14:paraId="5E0F9996" w14:textId="77777777" w:rsidR="004C1213" w:rsidRPr="004C1213" w:rsidRDefault="004C1213" w:rsidP="004C1213">
      <w:pPr>
        <w:numPr>
          <w:ilvl w:val="0"/>
          <w:numId w:val="9"/>
        </w:numPr>
        <w:spacing w:after="0" w:line="276" w:lineRule="auto"/>
        <w:ind w:left="426" w:hanging="426"/>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Waloryzacja.</w:t>
      </w:r>
    </w:p>
    <w:p w14:paraId="1783EAAF" w14:textId="77777777" w:rsidR="004C1213" w:rsidRPr="004C1213" w:rsidRDefault="004C1213" w:rsidP="004C1213">
      <w:pPr>
        <w:numPr>
          <w:ilvl w:val="0"/>
          <w:numId w:val="11"/>
        </w:numPr>
        <w:spacing w:after="0" w:line="276" w:lineRule="auto"/>
        <w:ind w:left="709" w:hanging="283"/>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Zamawiający dopuszcza możliwość zmiany uśrednionej ceny jednostkowej netto energii elektrycznej za 1 kWh (wynagrodzenia) wyszczególnionej w Formularzu Kalkulacji Cenowej, w przypadku zmiany cen energii elektrycznej, na następujących warunkach:</w:t>
      </w:r>
    </w:p>
    <w:p w14:paraId="3ACEF139" w14:textId="77777777" w:rsidR="004C1213" w:rsidRPr="004C1213" w:rsidRDefault="004C1213" w:rsidP="004C1213">
      <w:pPr>
        <w:numPr>
          <w:ilvl w:val="0"/>
          <w:numId w:val="12"/>
        </w:numPr>
        <w:spacing w:after="0" w:line="276" w:lineRule="auto"/>
        <w:ind w:left="1134" w:hanging="425"/>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minimalny poziom zmiany ceny energii elektrycznej, uprawniający Strony Umowy do żądania zmiany wynagrodzenia wynosi 18% w stosunku do ceny energii elektrycznej z miesiąca, w którym złożono ofertę Wykonawcy;</w:t>
      </w:r>
    </w:p>
    <w:p w14:paraId="3008F3A5" w14:textId="77777777" w:rsidR="004C1213" w:rsidRPr="004C1213" w:rsidRDefault="004C1213" w:rsidP="004C1213">
      <w:pPr>
        <w:numPr>
          <w:ilvl w:val="0"/>
          <w:numId w:val="12"/>
        </w:numPr>
        <w:spacing w:after="0" w:line="276" w:lineRule="auto"/>
        <w:ind w:left="1134" w:hanging="425"/>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 xml:space="preserve">poziom zmiany ceny jednostkowej netto energii elektrycznej, zostanie ustalony na podstawie indeksu miesięcznego ceny zakupu energii Towarowej Giełdy Energii, tj. indeksu średniej ważonej ceny miesięcznej </w:t>
      </w:r>
      <w:proofErr w:type="spellStart"/>
      <w:r w:rsidRPr="004C1213">
        <w:rPr>
          <w:rFonts w:ascii="Calibri" w:eastAsia="Cambria" w:hAnsi="Calibri" w:cs="Calibri"/>
          <w:kern w:val="0"/>
          <w:sz w:val="24"/>
          <w:szCs w:val="24"/>
          <w:lang w:eastAsia="pl-PL"/>
          <w14:ligatures w14:val="none"/>
        </w:rPr>
        <w:t>TGeBASE_WAvg</w:t>
      </w:r>
      <w:proofErr w:type="spellEnd"/>
      <w:r w:rsidRPr="004C1213">
        <w:rPr>
          <w:rFonts w:ascii="Calibri" w:eastAsia="Cambria" w:hAnsi="Calibri" w:cs="Calibri"/>
          <w:kern w:val="0"/>
          <w:sz w:val="24"/>
          <w:szCs w:val="24"/>
          <w:lang w:eastAsia="pl-PL"/>
          <w14:ligatures w14:val="none"/>
        </w:rPr>
        <w:t xml:space="preserve"> (cena publikowana w Raportach Miesięcznych https://tge.pl/dane-statystyczne), ustalonego w stosunku do miesiąca, w którym została złożona oferta Wykonawcy;</w:t>
      </w:r>
    </w:p>
    <w:p w14:paraId="6277D5E9" w14:textId="77777777" w:rsidR="004C1213" w:rsidRPr="004C1213" w:rsidRDefault="004C1213" w:rsidP="004C1213">
      <w:pPr>
        <w:numPr>
          <w:ilvl w:val="0"/>
          <w:numId w:val="12"/>
        </w:numPr>
        <w:spacing w:after="0" w:line="276" w:lineRule="auto"/>
        <w:ind w:left="1134" w:hanging="425"/>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zmiana ceny jednostkowej netto energii elektrycznej, może nastąpić najwcześniej po upływie 6-go miesiąca obowiązywania Umowy;</w:t>
      </w:r>
    </w:p>
    <w:p w14:paraId="2A5624BC" w14:textId="77777777" w:rsidR="004C1213" w:rsidRPr="004C1213" w:rsidRDefault="004C1213" w:rsidP="004C1213">
      <w:pPr>
        <w:numPr>
          <w:ilvl w:val="0"/>
          <w:numId w:val="12"/>
        </w:numPr>
        <w:spacing w:after="0" w:line="276" w:lineRule="auto"/>
        <w:ind w:left="1134" w:hanging="425"/>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poziom zmiany będzie stanowił różnicę ceny jednostkowej netto energii elektrycznej wyszczególnionej w Formularzu Kalkulacji Cenowej, a ceną jednostkową netto energii elektrycznej, ustaloną na podstawie indeksu o którym mowa w ppkt b);</w:t>
      </w:r>
    </w:p>
    <w:p w14:paraId="45CC1903" w14:textId="77777777" w:rsidR="004C1213" w:rsidRPr="004C1213" w:rsidRDefault="004C1213" w:rsidP="004C1213">
      <w:pPr>
        <w:numPr>
          <w:ilvl w:val="0"/>
          <w:numId w:val="12"/>
        </w:numPr>
        <w:spacing w:after="0" w:line="276" w:lineRule="auto"/>
        <w:ind w:left="1134" w:hanging="425"/>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maksymalny poziom zmiany ceny jednostkowej netto energii elektrycznej wynosi 25%.</w:t>
      </w:r>
    </w:p>
    <w:p w14:paraId="41E86454" w14:textId="77777777" w:rsidR="004C1213" w:rsidRPr="004C1213" w:rsidRDefault="004C1213" w:rsidP="004C1213">
      <w:pPr>
        <w:numPr>
          <w:ilvl w:val="0"/>
          <w:numId w:val="11"/>
        </w:numPr>
        <w:spacing w:after="0" w:line="276" w:lineRule="auto"/>
        <w:ind w:left="709" w:hanging="283"/>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Strony są uprawnione do zawnioskowania waloryzacji o której mowa w pkt 1), za pomocą złożonego w formie pisemnej wniosku, wraz z uzasadnieniem i wykazaniem zaistnienia przesłanek do zmiany. Druga Strona obowiązana jest odpowiedzieć lub złożyć zastrzeżenia do wniosku, w terminie 14 dni od dnia jego doręczenia;</w:t>
      </w:r>
    </w:p>
    <w:p w14:paraId="0B5DB4FF" w14:textId="77777777" w:rsidR="004C1213" w:rsidRPr="004C1213" w:rsidRDefault="004C1213" w:rsidP="004C1213">
      <w:pPr>
        <w:numPr>
          <w:ilvl w:val="0"/>
          <w:numId w:val="11"/>
        </w:numPr>
        <w:spacing w:after="0" w:line="276" w:lineRule="auto"/>
        <w:ind w:left="709" w:hanging="283"/>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Przez zmianę ceny jednostkowej netto energii elektrycznej, należy rozumieć zarówno jej podwyższenie, jak i obniżenie;</w:t>
      </w:r>
    </w:p>
    <w:p w14:paraId="24F5633F" w14:textId="77777777" w:rsidR="004C1213" w:rsidRPr="004C1213" w:rsidRDefault="004C1213" w:rsidP="004C1213">
      <w:pPr>
        <w:numPr>
          <w:ilvl w:val="0"/>
          <w:numId w:val="11"/>
        </w:numPr>
        <w:spacing w:after="0" w:line="276" w:lineRule="auto"/>
        <w:ind w:left="709" w:hanging="283"/>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 xml:space="preserve">Strony zgodnie oświadczają, że waloryzacja wynagrodzenia, o której mowa w ust. 3 pkt 1) powyżej, w przypadku gdy Wykonawca dokona zakupu energii elektrycznej lub w inny sposób zabezpieczy wolumen energii wg wyceny w złożonej ofercie dla całego okresu zamówienia wynikającego z niniejszej Umowy najdalej do dnia zawarcia </w:t>
      </w:r>
      <w:r w:rsidRPr="004C1213">
        <w:rPr>
          <w:rFonts w:ascii="Calibri" w:eastAsia="Cambria" w:hAnsi="Calibri" w:cs="Calibri"/>
          <w:kern w:val="0"/>
          <w:sz w:val="24"/>
          <w:szCs w:val="24"/>
          <w:lang w:eastAsia="pl-PL"/>
          <w14:ligatures w14:val="none"/>
        </w:rPr>
        <w:lastRenderedPageBreak/>
        <w:t>Umowy, waloryzacja nie będzie miała zastosowania, gdyż zmiana cen energii elektrycznej nie będzie miała wypływu na wartość wynagrodzenia.</w:t>
      </w:r>
    </w:p>
    <w:p w14:paraId="74ED1BBC" w14:textId="77777777" w:rsidR="004C1213" w:rsidRPr="004C1213" w:rsidRDefault="004C1213" w:rsidP="004C1213">
      <w:pPr>
        <w:numPr>
          <w:ilvl w:val="0"/>
          <w:numId w:val="11"/>
        </w:numPr>
        <w:spacing w:after="0" w:line="276" w:lineRule="auto"/>
        <w:ind w:left="709" w:hanging="283"/>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Wykonawca oświadcza, że do dnia zawarcia przedmiotowej umowy dokonał zakupu energii elektrycznej w wysokości …….. % (wielkość procentowa) wolumenu wskazanego w Załączniku nr 1 do Umowy.</w:t>
      </w:r>
    </w:p>
    <w:p w14:paraId="474DEFCF" w14:textId="13E5E2A9" w:rsidR="004C1213" w:rsidRPr="004C1213" w:rsidRDefault="004C1213" w:rsidP="004C1213">
      <w:pPr>
        <w:numPr>
          <w:ilvl w:val="0"/>
          <w:numId w:val="9"/>
        </w:numPr>
        <w:spacing w:after="0" w:line="276" w:lineRule="auto"/>
        <w:ind w:left="426" w:hanging="426"/>
        <w:contextualSpacing/>
        <w:jc w:val="both"/>
        <w:rPr>
          <w:rFonts w:ascii="Calibri" w:eastAsia="Cambria" w:hAnsi="Calibri" w:cs="Calibri"/>
          <w:kern w:val="0"/>
          <w:sz w:val="24"/>
          <w:szCs w:val="24"/>
          <w:lang w:eastAsia="pl-PL"/>
          <w14:ligatures w14:val="none"/>
        </w:rPr>
      </w:pPr>
      <w:r w:rsidRPr="004C1213">
        <w:rPr>
          <w:rFonts w:ascii="Calibri" w:eastAsia="Cambria" w:hAnsi="Calibri" w:cs="Calibri"/>
          <w:kern w:val="0"/>
          <w:sz w:val="24"/>
          <w:szCs w:val="24"/>
          <w:lang w:eastAsia="pl-PL"/>
          <w14:ligatures w14:val="none"/>
        </w:rPr>
        <w:t>O zmianach danych teleadresowych stron Umowy lub innych danych zawartych w rejestrach publicznych</w:t>
      </w:r>
      <w:r w:rsidRPr="004C1213">
        <w:rPr>
          <w:rFonts w:ascii="Calibri Light" w:eastAsia="SimSun" w:hAnsi="Calibri Light" w:cs="Calibri Light"/>
          <w:kern w:val="3"/>
          <w:sz w:val="20"/>
          <w:szCs w:val="20"/>
          <w:lang w:eastAsia="zh-CN" w:bidi="hi-IN"/>
          <w14:ligatures w14:val="none"/>
        </w:rPr>
        <w:t xml:space="preserve"> </w:t>
      </w:r>
      <w:r w:rsidRPr="004C1213">
        <w:rPr>
          <w:rFonts w:ascii="Calibri" w:eastAsia="Cambria" w:hAnsi="Calibri" w:cs="Calibri"/>
          <w:kern w:val="0"/>
          <w:sz w:val="24"/>
          <w:szCs w:val="24"/>
          <w:lang w:eastAsia="pl-PL"/>
          <w14:ligatures w14:val="none"/>
        </w:rPr>
        <w:t xml:space="preserve">Strony będą się informować niezwłocznie w formie pisemnej lub elektronicznej na adres wskazany w </w:t>
      </w:r>
      <w:r w:rsidR="00FD6B97">
        <w:rPr>
          <w:rFonts w:ascii="Calibri" w:eastAsia="Cambria" w:hAnsi="Calibri" w:cs="Calibri"/>
          <w:kern w:val="0"/>
          <w:sz w:val="24"/>
          <w:szCs w:val="24"/>
          <w:lang w:eastAsia="pl-PL"/>
          <w14:ligatures w14:val="none"/>
        </w:rPr>
        <w:t>umowie</w:t>
      </w:r>
      <w:r w:rsidRPr="004C1213">
        <w:rPr>
          <w:rFonts w:ascii="Calibri" w:eastAsia="Cambria" w:hAnsi="Calibri" w:cs="Calibri"/>
          <w:kern w:val="0"/>
          <w:sz w:val="24"/>
          <w:szCs w:val="24"/>
          <w:lang w:eastAsia="pl-PL"/>
          <w14:ligatures w14:val="none"/>
        </w:rPr>
        <w:t>. Zmiany nie wymagają sporządzenia aneksu do umowy.</w:t>
      </w:r>
    </w:p>
    <w:p w14:paraId="5AF94638" w14:textId="77777777" w:rsidR="005E2F89" w:rsidRDefault="005E2F89"/>
    <w:p w14:paraId="6CDE7A8C" w14:textId="5136F362" w:rsidR="00A86C03" w:rsidRDefault="00A86C03">
      <w:r>
        <w:t>Integralne części umowy:</w:t>
      </w:r>
    </w:p>
    <w:p w14:paraId="2F47D679" w14:textId="012C0648" w:rsidR="00A86C03" w:rsidRDefault="00A86C03">
      <w:r>
        <w:t>- Specyfikacja Warunków Zamówienia wraz z załącznikami</w:t>
      </w:r>
    </w:p>
    <w:p w14:paraId="55935384" w14:textId="470288AC" w:rsidR="00A86C03" w:rsidRDefault="00A86C03">
      <w:r>
        <w:t>- oferta Wykonawcy</w:t>
      </w:r>
    </w:p>
    <w:sectPr w:rsidR="00A86C0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F2AF" w14:textId="77777777" w:rsidR="001C4100" w:rsidRDefault="001C4100" w:rsidP="005E2F89">
      <w:pPr>
        <w:spacing w:after="0" w:line="240" w:lineRule="auto"/>
      </w:pPr>
      <w:r>
        <w:separator/>
      </w:r>
    </w:p>
  </w:endnote>
  <w:endnote w:type="continuationSeparator" w:id="0">
    <w:p w14:paraId="4A0B613F" w14:textId="77777777" w:rsidR="001C4100" w:rsidRDefault="001C4100" w:rsidP="005E2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imesNewRoman">
    <w:altName w:val="Yu Gothic UI"/>
    <w:charset w:val="00"/>
    <w:family w:val="auto"/>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471642"/>
      <w:docPartObj>
        <w:docPartGallery w:val="Page Numbers (Bottom of Page)"/>
        <w:docPartUnique/>
      </w:docPartObj>
    </w:sdtPr>
    <w:sdtEndPr/>
    <w:sdtContent>
      <w:p w14:paraId="258D55AE" w14:textId="5B9CC432" w:rsidR="005E2F89" w:rsidRDefault="005E2F89">
        <w:pPr>
          <w:pStyle w:val="Stopka"/>
          <w:jc w:val="right"/>
        </w:pPr>
        <w:r>
          <w:fldChar w:fldCharType="begin"/>
        </w:r>
        <w:r>
          <w:instrText>PAGE   \* MERGEFORMAT</w:instrText>
        </w:r>
        <w:r>
          <w:fldChar w:fldCharType="separate"/>
        </w:r>
        <w:r>
          <w:t>2</w:t>
        </w:r>
        <w:r>
          <w:fldChar w:fldCharType="end"/>
        </w:r>
      </w:p>
    </w:sdtContent>
  </w:sdt>
  <w:p w14:paraId="7302B950" w14:textId="77777777" w:rsidR="005E2F89" w:rsidRDefault="005E2F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51EF" w14:textId="77777777" w:rsidR="001C4100" w:rsidRDefault="001C4100" w:rsidP="005E2F89">
      <w:pPr>
        <w:spacing w:after="0" w:line="240" w:lineRule="auto"/>
      </w:pPr>
      <w:r>
        <w:separator/>
      </w:r>
    </w:p>
  </w:footnote>
  <w:footnote w:type="continuationSeparator" w:id="0">
    <w:p w14:paraId="2E89E4CF" w14:textId="77777777" w:rsidR="001C4100" w:rsidRDefault="001C4100" w:rsidP="005E2F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4"/>
    <w:multiLevelType w:val="multilevel"/>
    <w:tmpl w:val="0A9096E2"/>
    <w:name w:val="WW8Num36"/>
    <w:lvl w:ilvl="0">
      <w:start w:val="14"/>
      <w:numFmt w:val="decimal"/>
      <w:lvlText w:val="%1."/>
      <w:lvlJc w:val="left"/>
      <w:pPr>
        <w:tabs>
          <w:tab w:val="num" w:pos="0"/>
        </w:tabs>
        <w:ind w:left="360" w:hanging="360"/>
      </w:pPr>
      <w:rPr>
        <w:rFonts w:ascii="Times New Roman" w:eastAsia="TimesNewRoman" w:hAnsi="Times New Roman" w:cs="Times New Roman"/>
        <w:b/>
        <w:sz w:val="22"/>
        <w:szCs w:val="22"/>
      </w:rPr>
    </w:lvl>
    <w:lvl w:ilvl="1">
      <w:start w:val="1"/>
      <w:numFmt w:val="decimal"/>
      <w:lvlText w:val="%2."/>
      <w:lvlJc w:val="left"/>
      <w:pPr>
        <w:tabs>
          <w:tab w:val="num" w:pos="0"/>
        </w:tabs>
        <w:ind w:left="792" w:hanging="432"/>
      </w:pPr>
      <w:rPr>
        <w:rFonts w:asciiTheme="majorHAnsi" w:hAnsiTheme="majorHAnsi" w:cstheme="majorHAnsi" w:hint="default"/>
        <w:b w:val="0"/>
        <w:strike w:val="0"/>
        <w:color w:val="auto"/>
        <w:sz w:val="24"/>
        <w:szCs w:val="18"/>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183DDF"/>
    <w:multiLevelType w:val="hybridMultilevel"/>
    <w:tmpl w:val="E68289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3F6610"/>
    <w:multiLevelType w:val="hybridMultilevel"/>
    <w:tmpl w:val="A248372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 w15:restartNumberingAfterBreak="0">
    <w:nsid w:val="2ADD1A56"/>
    <w:multiLevelType w:val="hybridMultilevel"/>
    <w:tmpl w:val="0672ACE6"/>
    <w:lvl w:ilvl="0" w:tplc="3EEAF75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304C0A6C"/>
    <w:multiLevelType w:val="hybridMultilevel"/>
    <w:tmpl w:val="2BC6AFCE"/>
    <w:lvl w:ilvl="0" w:tplc="FF6EAA44">
      <w:start w:val="1"/>
      <w:numFmt w:val="decimal"/>
      <w:lvlText w:val="%1."/>
      <w:lvlJc w:val="left"/>
      <w:pPr>
        <w:ind w:left="644" w:hanging="360"/>
      </w:pPr>
      <w:rPr>
        <w:rFonts w:cs="Cambria"/>
        <w:b w:val="0"/>
        <w:i w:val="0"/>
        <w:color w:val="auto"/>
      </w:rPr>
    </w:lvl>
    <w:lvl w:ilvl="1" w:tplc="04150019" w:tentative="1">
      <w:start w:val="1"/>
      <w:numFmt w:val="lowerLetter"/>
      <w:lvlText w:val="%2."/>
      <w:lvlJc w:val="left"/>
      <w:pPr>
        <w:ind w:left="644" w:hanging="360"/>
      </w:pPr>
      <w:rPr>
        <w:rFonts w:cs="Cambria"/>
      </w:rPr>
    </w:lvl>
    <w:lvl w:ilvl="2" w:tplc="0415001B" w:tentative="1">
      <w:start w:val="1"/>
      <w:numFmt w:val="lowerRoman"/>
      <w:lvlText w:val="%3."/>
      <w:lvlJc w:val="right"/>
      <w:pPr>
        <w:ind w:left="1364" w:hanging="180"/>
      </w:pPr>
      <w:rPr>
        <w:rFonts w:cs="Cambria"/>
      </w:rPr>
    </w:lvl>
    <w:lvl w:ilvl="3" w:tplc="0415000F" w:tentative="1">
      <w:start w:val="1"/>
      <w:numFmt w:val="decimal"/>
      <w:lvlText w:val="%4."/>
      <w:lvlJc w:val="left"/>
      <w:pPr>
        <w:ind w:left="2084" w:hanging="360"/>
      </w:pPr>
      <w:rPr>
        <w:rFonts w:cs="Cambria"/>
      </w:rPr>
    </w:lvl>
    <w:lvl w:ilvl="4" w:tplc="04150019" w:tentative="1">
      <w:start w:val="1"/>
      <w:numFmt w:val="lowerLetter"/>
      <w:lvlText w:val="%5."/>
      <w:lvlJc w:val="left"/>
      <w:pPr>
        <w:ind w:left="2804" w:hanging="360"/>
      </w:pPr>
      <w:rPr>
        <w:rFonts w:cs="Cambria"/>
      </w:rPr>
    </w:lvl>
    <w:lvl w:ilvl="5" w:tplc="0415001B" w:tentative="1">
      <w:start w:val="1"/>
      <w:numFmt w:val="lowerRoman"/>
      <w:lvlText w:val="%6."/>
      <w:lvlJc w:val="right"/>
      <w:pPr>
        <w:ind w:left="3524" w:hanging="180"/>
      </w:pPr>
      <w:rPr>
        <w:rFonts w:cs="Cambria"/>
      </w:rPr>
    </w:lvl>
    <w:lvl w:ilvl="6" w:tplc="0415000F" w:tentative="1">
      <w:start w:val="1"/>
      <w:numFmt w:val="decimal"/>
      <w:lvlText w:val="%7."/>
      <w:lvlJc w:val="left"/>
      <w:pPr>
        <w:ind w:left="4244" w:hanging="360"/>
      </w:pPr>
      <w:rPr>
        <w:rFonts w:cs="Cambria"/>
      </w:rPr>
    </w:lvl>
    <w:lvl w:ilvl="7" w:tplc="04150019" w:tentative="1">
      <w:start w:val="1"/>
      <w:numFmt w:val="lowerLetter"/>
      <w:lvlText w:val="%8."/>
      <w:lvlJc w:val="left"/>
      <w:pPr>
        <w:ind w:left="4964" w:hanging="360"/>
      </w:pPr>
      <w:rPr>
        <w:rFonts w:cs="Cambria"/>
      </w:rPr>
    </w:lvl>
    <w:lvl w:ilvl="8" w:tplc="0415001B" w:tentative="1">
      <w:start w:val="1"/>
      <w:numFmt w:val="lowerRoman"/>
      <w:lvlText w:val="%9."/>
      <w:lvlJc w:val="right"/>
      <w:pPr>
        <w:ind w:left="5684" w:hanging="180"/>
      </w:pPr>
      <w:rPr>
        <w:rFonts w:cs="Cambria"/>
      </w:rPr>
    </w:lvl>
  </w:abstractNum>
  <w:abstractNum w:abstractNumId="5" w15:restartNumberingAfterBreak="0">
    <w:nsid w:val="382936E7"/>
    <w:multiLevelType w:val="hybridMultilevel"/>
    <w:tmpl w:val="C882A8CA"/>
    <w:lvl w:ilvl="0" w:tplc="EC0658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455E85"/>
    <w:multiLevelType w:val="hybridMultilevel"/>
    <w:tmpl w:val="0E36AE64"/>
    <w:lvl w:ilvl="0" w:tplc="CE0C1B6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3D924FD0"/>
    <w:multiLevelType w:val="hybridMultilevel"/>
    <w:tmpl w:val="F74CA7E8"/>
    <w:lvl w:ilvl="0" w:tplc="E8B282D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46963BE7"/>
    <w:multiLevelType w:val="hybridMultilevel"/>
    <w:tmpl w:val="A2A2AD8E"/>
    <w:lvl w:ilvl="0" w:tplc="D8C8FE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AD66C7"/>
    <w:multiLevelType w:val="hybridMultilevel"/>
    <w:tmpl w:val="42E84B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71EA5D92"/>
    <w:multiLevelType w:val="hybridMultilevel"/>
    <w:tmpl w:val="6E54F04C"/>
    <w:lvl w:ilvl="0" w:tplc="BBCE5F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7ED90FB6"/>
    <w:multiLevelType w:val="hybridMultilevel"/>
    <w:tmpl w:val="A6B4B2EC"/>
    <w:lvl w:ilvl="0" w:tplc="04150019">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7FDC61DD"/>
    <w:multiLevelType w:val="hybridMultilevel"/>
    <w:tmpl w:val="09ECDE0C"/>
    <w:lvl w:ilvl="0" w:tplc="5B1EE280">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305940702">
    <w:abstractNumId w:val="4"/>
  </w:num>
  <w:num w:numId="2" w16cid:durableId="208806509">
    <w:abstractNumId w:val="7"/>
  </w:num>
  <w:num w:numId="3" w16cid:durableId="1521435746">
    <w:abstractNumId w:val="3"/>
  </w:num>
  <w:num w:numId="4" w16cid:durableId="1555508174">
    <w:abstractNumId w:val="5"/>
  </w:num>
  <w:num w:numId="5" w16cid:durableId="368258701">
    <w:abstractNumId w:val="1"/>
  </w:num>
  <w:num w:numId="6" w16cid:durableId="1790514283">
    <w:abstractNumId w:val="6"/>
  </w:num>
  <w:num w:numId="7" w16cid:durableId="1449275580">
    <w:abstractNumId w:val="12"/>
  </w:num>
  <w:num w:numId="8" w16cid:durableId="488597829">
    <w:abstractNumId w:val="10"/>
  </w:num>
  <w:num w:numId="9" w16cid:durableId="1141340297">
    <w:abstractNumId w:val="8"/>
  </w:num>
  <w:num w:numId="10" w16cid:durableId="850534228">
    <w:abstractNumId w:val="11"/>
  </w:num>
  <w:num w:numId="11" w16cid:durableId="2019111639">
    <w:abstractNumId w:val="9"/>
  </w:num>
  <w:num w:numId="12" w16cid:durableId="233243255">
    <w:abstractNumId w:val="2"/>
  </w:num>
  <w:num w:numId="13" w16cid:durableId="1317998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BCB"/>
    <w:rsid w:val="00086201"/>
    <w:rsid w:val="001C4100"/>
    <w:rsid w:val="002265FF"/>
    <w:rsid w:val="00226E1B"/>
    <w:rsid w:val="00323B8B"/>
    <w:rsid w:val="00371149"/>
    <w:rsid w:val="003E109E"/>
    <w:rsid w:val="003E60EF"/>
    <w:rsid w:val="00417CB4"/>
    <w:rsid w:val="00483D4D"/>
    <w:rsid w:val="004C1213"/>
    <w:rsid w:val="004F3EB9"/>
    <w:rsid w:val="005E2F89"/>
    <w:rsid w:val="006A55D1"/>
    <w:rsid w:val="006F5997"/>
    <w:rsid w:val="0077784A"/>
    <w:rsid w:val="00783DA2"/>
    <w:rsid w:val="00807CE4"/>
    <w:rsid w:val="008C429B"/>
    <w:rsid w:val="008D0A3D"/>
    <w:rsid w:val="009475BD"/>
    <w:rsid w:val="00A24C71"/>
    <w:rsid w:val="00A53EF7"/>
    <w:rsid w:val="00A86C03"/>
    <w:rsid w:val="00AB1CCC"/>
    <w:rsid w:val="00B14CC7"/>
    <w:rsid w:val="00B342E9"/>
    <w:rsid w:val="00BE52DC"/>
    <w:rsid w:val="00CD645B"/>
    <w:rsid w:val="00D541CD"/>
    <w:rsid w:val="00D8687B"/>
    <w:rsid w:val="00DF5BCB"/>
    <w:rsid w:val="00F21F11"/>
    <w:rsid w:val="00FD6B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CD59A"/>
  <w15:chartTrackingRefBased/>
  <w15:docId w15:val="{A4B1E251-0CFC-4754-9837-8C321B420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F5B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F5B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F5BC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F5BC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F5BC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F5BC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F5BC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F5BC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F5BC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F5BC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F5BC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F5BC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F5BC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F5BC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F5B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F5B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F5B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F5BCB"/>
    <w:rPr>
      <w:rFonts w:eastAsiaTheme="majorEastAsia" w:cstheme="majorBidi"/>
      <w:color w:val="272727" w:themeColor="text1" w:themeTint="D8"/>
    </w:rPr>
  </w:style>
  <w:style w:type="paragraph" w:styleId="Tytu">
    <w:name w:val="Title"/>
    <w:basedOn w:val="Normalny"/>
    <w:next w:val="Normalny"/>
    <w:link w:val="TytuZnak"/>
    <w:uiPriority w:val="10"/>
    <w:qFormat/>
    <w:rsid w:val="00DF5B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F5B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F5B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F5B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F5BCB"/>
    <w:pPr>
      <w:spacing w:before="160"/>
      <w:jc w:val="center"/>
    </w:pPr>
    <w:rPr>
      <w:i/>
      <w:iCs/>
      <w:color w:val="404040" w:themeColor="text1" w:themeTint="BF"/>
    </w:rPr>
  </w:style>
  <w:style w:type="character" w:customStyle="1" w:styleId="CytatZnak">
    <w:name w:val="Cytat Znak"/>
    <w:basedOn w:val="Domylnaczcionkaakapitu"/>
    <w:link w:val="Cytat"/>
    <w:uiPriority w:val="29"/>
    <w:rsid w:val="00DF5BCB"/>
    <w:rPr>
      <w:i/>
      <w:iCs/>
      <w:color w:val="404040" w:themeColor="text1" w:themeTint="BF"/>
    </w:rPr>
  </w:style>
  <w:style w:type="paragraph" w:styleId="Akapitzlist">
    <w:name w:val="List Paragraph"/>
    <w:basedOn w:val="Normalny"/>
    <w:uiPriority w:val="34"/>
    <w:qFormat/>
    <w:rsid w:val="00DF5BCB"/>
    <w:pPr>
      <w:ind w:left="720"/>
      <w:contextualSpacing/>
    </w:pPr>
  </w:style>
  <w:style w:type="character" w:styleId="Wyrnienieintensywne">
    <w:name w:val="Intense Emphasis"/>
    <w:basedOn w:val="Domylnaczcionkaakapitu"/>
    <w:uiPriority w:val="21"/>
    <w:qFormat/>
    <w:rsid w:val="00DF5BCB"/>
    <w:rPr>
      <w:i/>
      <w:iCs/>
      <w:color w:val="2F5496" w:themeColor="accent1" w:themeShade="BF"/>
    </w:rPr>
  </w:style>
  <w:style w:type="paragraph" w:styleId="Cytatintensywny">
    <w:name w:val="Intense Quote"/>
    <w:basedOn w:val="Normalny"/>
    <w:next w:val="Normalny"/>
    <w:link w:val="CytatintensywnyZnak"/>
    <w:uiPriority w:val="30"/>
    <w:qFormat/>
    <w:rsid w:val="00DF5B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F5BCB"/>
    <w:rPr>
      <w:i/>
      <w:iCs/>
      <w:color w:val="2F5496" w:themeColor="accent1" w:themeShade="BF"/>
    </w:rPr>
  </w:style>
  <w:style w:type="character" w:styleId="Odwoanieintensywne">
    <w:name w:val="Intense Reference"/>
    <w:basedOn w:val="Domylnaczcionkaakapitu"/>
    <w:uiPriority w:val="32"/>
    <w:qFormat/>
    <w:rsid w:val="00DF5BCB"/>
    <w:rPr>
      <w:b/>
      <w:bCs/>
      <w:smallCaps/>
      <w:color w:val="2F5496" w:themeColor="accent1" w:themeShade="BF"/>
      <w:spacing w:val="5"/>
    </w:rPr>
  </w:style>
  <w:style w:type="paragraph" w:styleId="Nagwek">
    <w:name w:val="header"/>
    <w:basedOn w:val="Normalny"/>
    <w:link w:val="NagwekZnak"/>
    <w:uiPriority w:val="99"/>
    <w:unhideWhenUsed/>
    <w:rsid w:val="005E2F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2F89"/>
  </w:style>
  <w:style w:type="paragraph" w:styleId="Stopka">
    <w:name w:val="footer"/>
    <w:basedOn w:val="Normalny"/>
    <w:link w:val="StopkaZnak"/>
    <w:uiPriority w:val="99"/>
    <w:unhideWhenUsed/>
    <w:rsid w:val="005E2F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2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9</Pages>
  <Words>3070</Words>
  <Characters>18421</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Makowski</dc:creator>
  <cp:keywords/>
  <dc:description/>
  <cp:lastModifiedBy>Beata Abramska</cp:lastModifiedBy>
  <cp:revision>12</cp:revision>
  <dcterms:created xsi:type="dcterms:W3CDTF">2024-10-08T08:44:00Z</dcterms:created>
  <dcterms:modified xsi:type="dcterms:W3CDTF">2026-08-04T11:01:00Z</dcterms:modified>
</cp:coreProperties>
</file>